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jc w:val="both"/>
        <w:rPr>
          <w:rFonts w:ascii="Arial" w:hAnsi="Arial" w:cs="Arial"/>
          <w:b/>
          <w:bCs/>
          <w:i/>
          <w:iCs/>
          <w:color w:val="262626" w:themeColor="text1" w:themeTint="D9"/>
          <w:lang w:val="en"/>
          <w14:textFill>
            <w14:solidFill>
              <w14:schemeClr w14:val="tx1">
                <w14:lumMod w14:val="85000"/>
                <w14:lumOff w14:val="15000"/>
              </w14:schemeClr>
            </w14:solidFill>
          </w14:textFill>
        </w:rPr>
      </w:pPr>
      <w:r>
        <w:rPr>
          <w:rFonts w:ascii="Arial" w:hAnsi="Arial" w:cs="Arial"/>
          <w:b/>
          <w:bCs/>
          <w:i/>
          <w:iCs/>
          <w:color w:val="262626" w:themeColor="text1" w:themeTint="D9"/>
          <w:lang w:val="en"/>
          <w14:textFill>
            <w14:solidFill>
              <w14:schemeClr w14:val="tx1">
                <w14:lumMod w14:val="85000"/>
                <w14:lumOff w14:val="15000"/>
              </w14:schemeClr>
            </w14:solidFill>
          </w14:textFill>
        </w:rPr>
        <w:t>Pregled podatkov o obolelih</w:t>
      </w:r>
    </w:p>
    <w:tbl>
      <w:tblPr>
        <w:tblStyle w:val="8"/>
        <w:tblW w:w="100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6"/>
        <w:gridCol w:w="2476"/>
        <w:gridCol w:w="2476"/>
        <w:gridCol w:w="2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56" w:type="dxa"/>
            <w:shd w:val="clear" w:color="auto" w:fill="D7D7D7" w:themeFill="background1" w:themeFillShade="D8"/>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Država</w:t>
            </w:r>
          </w:p>
        </w:tc>
        <w:tc>
          <w:tcPr>
            <w:tcW w:w="2476" w:type="dxa"/>
            <w:shd w:val="clear" w:color="auto" w:fill="D7D7D7" w:themeFill="background1" w:themeFillShade="D8"/>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 xml:space="preserve">Število okuženih </w:t>
            </w:r>
          </w:p>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(dnevna sprememba)</w:t>
            </w:r>
          </w:p>
        </w:tc>
        <w:tc>
          <w:tcPr>
            <w:tcW w:w="2476" w:type="dxa"/>
            <w:shd w:val="clear" w:color="auto" w:fill="D7D7D7" w:themeFill="background1" w:themeFillShade="D8"/>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Število ozdravljenih oseb</w:t>
            </w:r>
          </w:p>
        </w:tc>
        <w:tc>
          <w:tcPr>
            <w:tcW w:w="2478" w:type="dxa"/>
            <w:shd w:val="clear" w:color="auto" w:fill="D7D7D7" w:themeFill="background1" w:themeFillShade="D8"/>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Število umrlih oseb (dnevna sprememba)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56" w:type="dxa"/>
            <w:vAlign w:val="center"/>
          </w:tcPr>
          <w:p>
            <w:pPr>
              <w:widowControl w:val="0"/>
              <w:jc w:val="center"/>
              <w:rPr>
                <w:rFonts w:hint="default"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Italija</w:t>
            </w:r>
            <w:r>
              <w:rPr>
                <w:rFonts w:hint="default" w:ascii="Arial" w:hAnsi="Arial" w:cs="Arial"/>
                <w:color w:val="262626" w:themeColor="text1" w:themeTint="D9"/>
                <w:sz w:val="18"/>
                <w:szCs w:val="18"/>
                <w:highlight w:val="none"/>
                <w:lang w:val="en"/>
                <w14:textFill>
                  <w14:solidFill>
                    <w14:schemeClr w14:val="tx1">
                      <w14:lumMod w14:val="85000"/>
                      <w14:lumOff w14:val="15000"/>
                    </w14:schemeClr>
                  </w14:solidFill>
                </w14:textFill>
              </w:rPr>
              <w:t xml:space="preserve"> </w:t>
            </w:r>
            <w:r>
              <w:rPr>
                <w:rFonts w:hint="default" w:ascii="Arial" w:hAnsi="Arial" w:cs="Arial"/>
                <w:color w:val="262626" w:themeColor="text1" w:themeTint="D9"/>
                <w:sz w:val="18"/>
                <w:szCs w:val="18"/>
                <w:highlight w:val="none"/>
                <w:lang w:val="en"/>
                <w14:textFill>
                  <w14:solidFill>
                    <w14:schemeClr w14:val="tx1">
                      <w14:lumMod w14:val="85000"/>
                      <w14:lumOff w14:val="15000"/>
                    </w14:schemeClr>
                  </w14:solidFill>
                </w14:textFill>
              </w:rPr>
              <w:t>**</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104657 (-548)</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68941</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27682 (+323)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56" w:type="dxa"/>
            <w:vAlign w:val="center"/>
          </w:tcPr>
          <w:p>
            <w:pPr>
              <w:widowControl w:val="0"/>
              <w:jc w:val="center"/>
              <w:rPr>
                <w:rFonts w:hint="default"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Avstrija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15352 (+96)</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12779</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580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656" w:type="dxa"/>
            <w:vAlign w:val="center"/>
          </w:tcPr>
          <w:p>
            <w:pPr>
              <w:widowControl w:val="0"/>
              <w:jc w:val="center"/>
              <w:rPr>
                <w:rFonts w:hint="default"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Madžarska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2727 (+78)</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536</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300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56" w:type="dxa"/>
            <w:vAlign w:val="center"/>
          </w:tcPr>
          <w:p>
            <w:pPr>
              <w:widowControl w:val="0"/>
              <w:jc w:val="cente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Hrvaška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2064 (+15)</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1288</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67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656" w:type="dxa"/>
            <w:vAlign w:val="center"/>
          </w:tcPr>
          <w:p>
            <w:pPr>
              <w:widowControl w:val="0"/>
              <w:jc w:val="cente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Nemčija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160479 (+1441)</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120400</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6374 (+213)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56" w:type="dxa"/>
            <w:vAlign w:val="center"/>
          </w:tcPr>
          <w:p>
            <w:pPr>
              <w:widowControl w:val="0"/>
              <w:jc w:val="cente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Švica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29407 (+143)</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22600</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1408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56" w:type="dxa"/>
            <w:vAlign w:val="center"/>
          </w:tcPr>
          <w:p>
            <w:pPr>
              <w:widowControl w:val="0"/>
              <w:jc w:val="cente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Francija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128442 (+1417)</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46886</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24087 (+427)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656" w:type="dxa"/>
            <w:vAlign w:val="center"/>
          </w:tcPr>
          <w:p>
            <w:pPr>
              <w:widowControl w:val="0"/>
              <w:jc w:val="center"/>
              <w:rPr>
                <w:rFonts w:hint="default"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Belgija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47334 (+647)</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10943</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7331 (+134)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56" w:type="dxa"/>
            <w:vAlign w:val="center"/>
          </w:tcPr>
          <w:p>
            <w:pPr>
              <w:widowControl w:val="0"/>
              <w:jc w:val="center"/>
              <w:rPr>
                <w:rFonts w:hint="default"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Luksemburg</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3729 (+6)</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3123</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88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56" w:type="dxa"/>
            <w:vAlign w:val="center"/>
          </w:tcPr>
          <w:p>
            <w:pPr>
              <w:widowControl w:val="0"/>
              <w:jc w:val="cente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Nizozemska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38802 (+386)</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4711 (+145)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56" w:type="dxa"/>
            <w:vAlign w:val="center"/>
          </w:tcPr>
          <w:p>
            <w:pPr>
              <w:widowControl w:val="0"/>
              <w:jc w:val="cente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Švedska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20302 (+681)</w:t>
            </w:r>
          </w:p>
        </w:tc>
        <w:tc>
          <w:tcPr>
            <w:tcW w:w="2476" w:type="dxa"/>
            <w:vAlign w:val="center"/>
          </w:tcPr>
          <w:p>
            <w:pPr>
              <w:widowControl w:val="0"/>
              <w:jc w:val="center"/>
              <w:rPr>
                <w:rFonts w:hint="default" w:ascii="Arial" w:hAnsi="Arial" w:cs="Arial"/>
                <w:color w:val="262626" w:themeColor="text1" w:themeTint="D9"/>
                <w:sz w:val="18"/>
                <w:szCs w:val="18"/>
                <w:lang w:val="en-US"/>
                <w14:textFill>
                  <w14:solidFill>
                    <w14:schemeClr w14:val="tx1">
                      <w14:lumMod w14:val="85000"/>
                      <w14:lumOff w14:val="15000"/>
                    </w14:schemeClr>
                  </w14:solidFill>
                </w14:textFill>
              </w:rPr>
            </w:pP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2462 (+107)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trPr>
        <w:tc>
          <w:tcPr>
            <w:tcW w:w="2656" w:type="dxa"/>
            <w:vAlign w:val="center"/>
          </w:tcPr>
          <w:p>
            <w:pPr>
              <w:widowControl w:val="0"/>
              <w:jc w:val="cente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Danska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9008 (+157)</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6366</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443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56" w:type="dxa"/>
            <w:vAlign w:val="center"/>
          </w:tcPr>
          <w:p>
            <w:pPr>
              <w:widowControl w:val="0"/>
              <w:jc w:val="cente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Finska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4906 (+166)</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206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656" w:type="dxa"/>
            <w:vAlign w:val="center"/>
          </w:tcPr>
          <w:p>
            <w:pPr>
              <w:widowControl w:val="0"/>
              <w:jc w:val="cente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Norveška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7710 (+50)</w:t>
            </w:r>
          </w:p>
        </w:tc>
        <w:tc>
          <w:tcPr>
            <w:tcW w:w="2476" w:type="dxa"/>
            <w:vAlign w:val="center"/>
          </w:tcPr>
          <w:p>
            <w:pPr>
              <w:widowControl w:val="0"/>
              <w:jc w:val="center"/>
              <w:rPr>
                <w:rFonts w:hint="default" w:ascii="Arial" w:hAnsi="Arial" w:cs="Arial"/>
                <w:color w:val="262626" w:themeColor="text1" w:themeTint="D9"/>
                <w:sz w:val="18"/>
                <w:szCs w:val="18"/>
                <w:lang w:val="en-US"/>
                <w14:textFill>
                  <w14:solidFill>
                    <w14:schemeClr w14:val="tx1">
                      <w14:lumMod w14:val="85000"/>
                      <w14:lumOff w14:val="15000"/>
                    </w14:schemeClr>
                  </w14:solidFill>
                </w14:textFill>
              </w:rPr>
            </w:pP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207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56" w:type="dxa"/>
            <w:vAlign w:val="center"/>
          </w:tcPr>
          <w:p>
            <w:pPr>
              <w:widowControl w:val="0"/>
              <w:jc w:val="cente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Poljska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12415 (+326)</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3025</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606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56" w:type="dxa"/>
            <w:vAlign w:val="center"/>
          </w:tcPr>
          <w:p>
            <w:pPr>
              <w:widowControl w:val="0"/>
              <w:jc w:val="center"/>
              <w:rPr>
                <w:rFonts w:hint="default"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Češka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7504 (+55)</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2960</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227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656" w:type="dxa"/>
            <w:vAlign w:val="center"/>
          </w:tcPr>
          <w:p>
            <w:pPr>
              <w:widowControl w:val="0"/>
              <w:jc w:val="cente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Slovaška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1391 (+7)</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484</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22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9" w:hRule="atLeast"/>
        </w:trPr>
        <w:tc>
          <w:tcPr>
            <w:tcW w:w="2656" w:type="dxa"/>
            <w:vAlign w:val="center"/>
          </w:tcPr>
          <w:p>
            <w:pPr>
              <w:widowControl w:val="0"/>
              <w:jc w:val="center"/>
              <w:rPr>
                <w:rFonts w:hint="default"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Romunija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11978 (+362)</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3569</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692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56" w:type="dxa"/>
            <w:vAlign w:val="center"/>
          </w:tcPr>
          <w:p>
            <w:pPr>
              <w:widowControl w:val="0"/>
              <w:jc w:val="cente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Bolgarija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1447 (+48)</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243</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64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2656" w:type="dxa"/>
            <w:vAlign w:val="center"/>
          </w:tcPr>
          <w:p>
            <w:pPr>
              <w:widowControl w:val="0"/>
              <w:jc w:val="cente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Litva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1375 (+31)</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563</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45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56" w:type="dxa"/>
            <w:vAlign w:val="center"/>
          </w:tcPr>
          <w:p>
            <w:pPr>
              <w:widowControl w:val="0"/>
              <w:jc w:val="cente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Latvija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849 (+13)</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348</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15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656" w:type="dxa"/>
            <w:vAlign w:val="center"/>
          </w:tcPr>
          <w:p>
            <w:pPr>
              <w:widowControl w:val="0"/>
              <w:jc w:val="cente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Estonija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1666 (+6)</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236</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50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56" w:type="dxa"/>
            <w:vAlign w:val="center"/>
          </w:tcPr>
          <w:p>
            <w:pPr>
              <w:widowControl w:val="0"/>
              <w:jc w:val="cente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Španija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212917 (+2144)</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108947</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24275 (+325)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56" w:type="dxa"/>
            <w:vAlign w:val="center"/>
          </w:tcPr>
          <w:p>
            <w:pPr>
              <w:widowControl w:val="0"/>
              <w:jc w:val="cente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Portugalska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24505 (+183)</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1470</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973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656" w:type="dxa"/>
            <w:vAlign w:val="center"/>
          </w:tcPr>
          <w:p>
            <w:pPr>
              <w:widowControl w:val="0"/>
              <w:jc w:val="center"/>
              <w:rPr>
                <w:rFonts w:hint="default"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Grčija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2576 (+10)</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577</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139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656" w:type="dxa"/>
            <w:vAlign w:val="center"/>
          </w:tcPr>
          <w:p>
            <w:pPr>
              <w:widowControl w:val="0"/>
              <w:jc w:val="cente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Ciper</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843 (+6)</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148</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20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56" w:type="dxa"/>
            <w:vAlign w:val="center"/>
          </w:tcPr>
          <w:p>
            <w:pPr>
              <w:widowControl w:val="0"/>
              <w:jc w:val="center"/>
              <w:rPr>
                <w:rFonts w:hint="default"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Irska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20253 (+376)</w:t>
            </w:r>
          </w:p>
        </w:tc>
        <w:tc>
          <w:tcPr>
            <w:tcW w:w="2476" w:type="dxa"/>
            <w:vAlign w:val="center"/>
          </w:tcPr>
          <w:p>
            <w:pPr>
              <w:widowControl w:val="0"/>
              <w:jc w:val="center"/>
              <w:rPr>
                <w:rFonts w:hint="default" w:ascii="Arial" w:hAnsi="Arial" w:cs="Arial"/>
                <w:color w:val="262626" w:themeColor="text1" w:themeTint="D9"/>
                <w:sz w:val="18"/>
                <w:szCs w:val="18"/>
                <w:lang w:val="en-US"/>
                <w14:textFill>
                  <w14:solidFill>
                    <w14:schemeClr w14:val="tx1">
                      <w14:lumMod w14:val="85000"/>
                      <w14:lumOff w14:val="15000"/>
                    </w14:schemeClr>
                  </w14:solidFill>
                </w14:textFill>
              </w:rPr>
            </w:pP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1190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656" w:type="dxa"/>
            <w:vAlign w:val="center"/>
          </w:tcPr>
          <w:p>
            <w:pPr>
              <w:widowControl w:val="0"/>
              <w:jc w:val="cente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Združeno kraljestvo</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165221 (+4076)</w:t>
            </w:r>
          </w:p>
        </w:tc>
        <w:tc>
          <w:tcPr>
            <w:tcW w:w="2476" w:type="dxa"/>
            <w:vAlign w:val="center"/>
          </w:tcPr>
          <w:p>
            <w:pPr>
              <w:widowControl w:val="0"/>
              <w:jc w:val="center"/>
              <w:rPr>
                <w:rFonts w:hint="default" w:ascii="Arial" w:hAnsi="Arial" w:cs="Arial"/>
                <w:color w:val="262626" w:themeColor="text1" w:themeTint="D9"/>
                <w:sz w:val="18"/>
                <w:szCs w:val="18"/>
                <w:lang w:val="en-US"/>
                <w14:textFill>
                  <w14:solidFill>
                    <w14:schemeClr w14:val="tx1">
                      <w14:lumMod w14:val="85000"/>
                      <w14:lumOff w14:val="15000"/>
                    </w14:schemeClr>
                  </w14:solidFill>
                </w14:textFill>
              </w:rPr>
            </w:pP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26097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56" w:type="dxa"/>
            <w:vAlign w:val="center"/>
          </w:tcPr>
          <w:p>
            <w:pPr>
              <w:widowControl w:val="0"/>
              <w:jc w:val="cente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Bosna in Hercegovina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1677 (+76)</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710</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75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56" w:type="dxa"/>
            <w:vAlign w:val="center"/>
          </w:tcPr>
          <w:p>
            <w:pPr>
              <w:widowControl w:val="0"/>
              <w:jc w:val="cente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Srbija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8724 (+227)</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1292</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173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9" w:hRule="atLeast"/>
        </w:trPr>
        <w:tc>
          <w:tcPr>
            <w:tcW w:w="2656" w:type="dxa"/>
            <w:vAlign w:val="center"/>
          </w:tcPr>
          <w:p>
            <w:pPr>
              <w:widowControl w:val="0"/>
              <w:jc w:val="center"/>
              <w:rPr>
                <w:rFonts w:hint="default"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Črna gora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321 (0)</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199</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7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56" w:type="dxa"/>
            <w:vAlign w:val="center"/>
          </w:tcPr>
          <w:p>
            <w:pPr>
              <w:widowControl w:val="0"/>
              <w:jc w:val="cente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Kosovo</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799 (+9)</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249</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22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56" w:type="dxa"/>
            <w:vAlign w:val="center"/>
          </w:tcPr>
          <w:p>
            <w:pPr>
              <w:widowControl w:val="0"/>
              <w:jc w:val="cente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Albanija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766 (+16)</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455</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30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56" w:type="dxa"/>
            <w:vAlign w:val="center"/>
          </w:tcPr>
          <w:p>
            <w:pPr>
              <w:widowControl w:val="0"/>
              <w:jc w:val="cente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Severna Makedonija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1442 (+21)</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627</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73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656" w:type="dxa"/>
            <w:vAlign w:val="center"/>
          </w:tcPr>
          <w:p>
            <w:pPr>
              <w:widowControl w:val="0"/>
              <w:jc w:val="center"/>
              <w:rPr>
                <w:rFonts w:hint="default"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Izrael</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15834 (+106)</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8233</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215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2656" w:type="dxa"/>
            <w:vAlign w:val="center"/>
          </w:tcPr>
          <w:p>
            <w:pPr>
              <w:widowControl w:val="0"/>
              <w:jc w:val="center"/>
              <w:rPr>
                <w:rFonts w:hint="default"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Palestina</w:t>
            </w:r>
            <w:r>
              <w:rPr>
                <w:rFonts w:hint="default" w:ascii="Arial" w:hAnsi="Arial" w:cs="Arial"/>
                <w:color w:val="262626" w:themeColor="text1" w:themeTint="D9"/>
                <w:sz w:val="18"/>
                <w:szCs w:val="18"/>
                <w:highlight w:val="none"/>
                <w:lang w:val="en"/>
                <w14:textFill>
                  <w14:solidFill>
                    <w14:schemeClr w14:val="tx1">
                      <w14:lumMod w14:val="85000"/>
                      <w14:lumOff w14:val="15000"/>
                    </w14:schemeClr>
                  </w14:solidFill>
                </w14:textFill>
              </w:rPr>
              <w:t xml:space="preserve"> </w:t>
            </w:r>
            <w:r>
              <w:rPr>
                <w:rFonts w:hint="default" w:ascii="Arial" w:hAnsi="Arial" w:cs="Arial"/>
                <w:color w:val="262626" w:themeColor="text1" w:themeTint="D9"/>
                <w:sz w:val="18"/>
                <w:szCs w:val="18"/>
                <w:highlight w:val="none"/>
                <w:lang w:val="en"/>
                <w14:textFill>
                  <w14:solidFill>
                    <w14:schemeClr w14:val="tx1">
                      <w14:lumMod w14:val="85000"/>
                      <w14:lumOff w14:val="15000"/>
                    </w14:schemeClr>
                  </w14:solidFill>
                </w14:textFill>
              </w:rPr>
              <w:t xml:space="preserve">(ZB + Gaza) </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507 (+6)</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105</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56" w:type="dxa"/>
            <w:vAlign w:val="center"/>
          </w:tcPr>
          <w:p>
            <w:pPr>
              <w:widowControl w:val="0"/>
              <w:jc w:val="cente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Turčija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117589 (+2936)</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44022</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3081 (+89)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trPr>
        <w:tc>
          <w:tcPr>
            <w:tcW w:w="2656" w:type="dxa"/>
            <w:vAlign w:val="center"/>
          </w:tcPr>
          <w:p>
            <w:pPr>
              <w:widowControl w:val="0"/>
              <w:jc w:val="cente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Ukrajina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10406 (+540)</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1238</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261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56" w:type="dxa"/>
            <w:vAlign w:val="center"/>
          </w:tcPr>
          <w:p>
            <w:pPr>
              <w:widowControl w:val="0"/>
              <w:jc w:val="cente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Rusija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99399 (+5841)</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10286</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972 (+108)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56" w:type="dxa"/>
            <w:vAlign w:val="center"/>
          </w:tcPr>
          <w:p>
            <w:pPr>
              <w:widowControl w:val="0"/>
              <w:jc w:val="center"/>
              <w:rPr>
                <w:rFonts w:hint="default"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Indija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31787 (+1813)</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7796</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1008 (+71)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56" w:type="dxa"/>
            <w:vAlign w:val="center"/>
          </w:tcPr>
          <w:p>
            <w:pPr>
              <w:widowControl w:val="0"/>
              <w:jc w:val="center"/>
              <w:rPr>
                <w:rFonts w:hint="default"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Kitajska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619 (+4)</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77610</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4633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56" w:type="dxa"/>
            <w:vAlign w:val="center"/>
          </w:tcPr>
          <w:p>
            <w:pPr>
              <w:widowControl w:val="0"/>
              <w:jc w:val="center"/>
              <w:rPr>
                <w:rFonts w:hint="default"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highlight w:val="none"/>
                <w:lang w:val="en"/>
                <w14:textFill>
                  <w14:solidFill>
                    <w14:schemeClr w14:val="tx1">
                      <w14:lumMod w14:val="85000"/>
                      <w14:lumOff w14:val="15000"/>
                    </w14:schemeClr>
                  </w14:solidFill>
                </w14:textFill>
              </w:rPr>
              <w:t>Singapur</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14439 (+690)</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1188</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14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56" w:type="dxa"/>
            <w:vAlign w:val="center"/>
          </w:tcPr>
          <w:p>
            <w:pPr>
              <w:widowControl w:val="0"/>
              <w:jc w:val="center"/>
              <w:rPr>
                <w:rFonts w:hint="default"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Japonska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14119 (+224)</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3374</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448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656" w:type="dxa"/>
            <w:vAlign w:val="center"/>
          </w:tcPr>
          <w:p>
            <w:pPr>
              <w:widowControl w:val="0"/>
              <w:jc w:val="center"/>
              <w:rPr>
                <w:rFonts w:hint="default"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Koreja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10765 (+4)</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9059</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247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56" w:type="dxa"/>
            <w:vAlign w:val="center"/>
          </w:tcPr>
          <w:p>
            <w:pPr>
              <w:widowControl w:val="0"/>
              <w:jc w:val="center"/>
              <w:rPr>
                <w:rFonts w:hint="default"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Avstralija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6751 (+4)</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5667</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91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56" w:type="dxa"/>
            <w:vAlign w:val="center"/>
          </w:tcPr>
          <w:p>
            <w:pPr>
              <w:widowControl w:val="0"/>
              <w:jc w:val="center"/>
              <w:rPr>
                <w:rFonts w:hint="default"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Egipt</w:t>
            </w:r>
            <w:r>
              <w:rPr>
                <w:rFonts w:hint="default" w:ascii="Arial" w:hAnsi="Arial" w:cs="Arial"/>
                <w:color w:val="262626" w:themeColor="text1" w:themeTint="D9"/>
                <w:sz w:val="18"/>
                <w:szCs w:val="18"/>
                <w:highlight w:val="none"/>
                <w:lang w:val="en"/>
                <w14:textFill>
                  <w14:solidFill>
                    <w14:schemeClr w14:val="tx1">
                      <w14:lumMod w14:val="85000"/>
                      <w14:lumOff w14:val="15000"/>
                    </w14:schemeClr>
                  </w14:solidFill>
                </w14:textFill>
              </w:rPr>
              <w:t xml:space="preserve"> *</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4782 (+248)</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1263</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337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 w:hRule="atLeast"/>
        </w:trPr>
        <w:tc>
          <w:tcPr>
            <w:tcW w:w="2656" w:type="dxa"/>
            <w:vAlign w:val="center"/>
          </w:tcPr>
          <w:p>
            <w:pPr>
              <w:widowControl w:val="0"/>
              <w:jc w:val="center"/>
              <w:rPr>
                <w:rFonts w:hint="default"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ZAE</w:t>
            </w:r>
            <w:r>
              <w:rPr>
                <w:rFonts w:hint="default" w:ascii="Arial" w:hAnsi="Arial" w:cs="Arial"/>
                <w:color w:val="262626" w:themeColor="text1" w:themeTint="D9"/>
                <w:sz w:val="18"/>
                <w:szCs w:val="18"/>
                <w:highlight w:val="none"/>
                <w:lang w:val="en"/>
                <w14:textFill>
                  <w14:solidFill>
                    <w14:schemeClr w14:val="tx1">
                      <w14:lumMod w14:val="85000"/>
                      <w14:lumOff w14:val="15000"/>
                    </w14:schemeClr>
                  </w14:solidFill>
                </w14:textFill>
              </w:rPr>
              <w:t xml:space="preserve"> *</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11380 (+541)</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2181</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89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3" w:hRule="atLeast"/>
        </w:trPr>
        <w:tc>
          <w:tcPr>
            <w:tcW w:w="2656" w:type="dxa"/>
            <w:vAlign w:val="center"/>
          </w:tcPr>
          <w:p>
            <w:pPr>
              <w:widowControl w:val="0"/>
              <w:jc w:val="cente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Iran</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93657 (+1073)</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73791</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5957 (+80)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656" w:type="dxa"/>
            <w:vAlign w:val="center"/>
          </w:tcPr>
          <w:p>
            <w:pPr>
              <w:widowControl w:val="0"/>
              <w:jc w:val="center"/>
              <w:rPr>
                <w:rFonts w:hint="default"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Brazilija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78162 (+6276)</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34132</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5466 (+449)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56" w:type="dxa"/>
            <w:vAlign w:val="center"/>
          </w:tcPr>
          <w:p>
            <w:pPr>
              <w:widowControl w:val="0"/>
              <w:jc w:val="cente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Argentina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4285 158)</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1192</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214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56" w:type="dxa"/>
            <w:vAlign w:val="center"/>
          </w:tcPr>
          <w:p>
            <w:pPr>
              <w:widowControl w:val="0"/>
              <w:jc w:val="cente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Kanada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51597 (+1571)</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20327</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2996 (+137)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56" w:type="dxa"/>
            <w:vAlign w:val="center"/>
          </w:tcPr>
          <w:p>
            <w:pPr>
              <w:widowControl w:val="0"/>
              <w:jc w:val="cente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pPr>
            <w:r>
              <w:rPr>
                <w:rFonts w:ascii="Arial" w:hAnsi="Arial" w:cs="Arial"/>
                <w:color w:val="262626" w:themeColor="text1" w:themeTint="D9"/>
                <w:sz w:val="18"/>
                <w:szCs w:val="18"/>
                <w:highlight w:val="none"/>
                <w:lang w:val="en"/>
                <w14:textFill>
                  <w14:solidFill>
                    <w14:schemeClr w14:val="tx1">
                      <w14:lumMod w14:val="85000"/>
                      <w14:lumOff w14:val="15000"/>
                    </w14:schemeClr>
                  </w14:solidFill>
                </w14:textFill>
              </w:rPr>
              <w:t>ZDA</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1056646 (+20881)</w:t>
            </w:r>
          </w:p>
        </w:tc>
        <w:tc>
          <w:tcPr>
            <w:tcW w:w="2476"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145320</w:t>
            </w:r>
          </w:p>
        </w:tc>
        <w:tc>
          <w:tcPr>
            <w:tcW w:w="2478" w:type="dxa"/>
            <w:vAlign w:val="center"/>
          </w:tcPr>
          <w:p>
            <w:pPr>
              <w:widowControl w:val="0"/>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61180 (+1914)</w:t>
            </w:r>
          </w:p>
        </w:tc>
      </w:tr>
    </w:tbl>
    <w:p>
      <w:pPr>
        <w:rPr>
          <w:rFonts w:ascii="Arial" w:hAnsi="Arial" w:cs="Arial"/>
          <w:i/>
          <w:iCs/>
          <w:color w:val="262626" w:themeColor="text1" w:themeTint="D9"/>
          <w:sz w:val="18"/>
          <w:szCs w:val="18"/>
          <w:lang w:val="en"/>
          <w14:textFill>
            <w14:solidFill>
              <w14:schemeClr w14:val="tx1">
                <w14:lumMod w14:val="85000"/>
                <w14:lumOff w14:val="15000"/>
              </w14:schemeClr>
            </w14:solidFill>
          </w14:textFill>
        </w:rPr>
      </w:pPr>
    </w:p>
    <w:p>
      <w:pPr>
        <w:rPr>
          <w:rFonts w:ascii="Arial" w:hAnsi="Arial" w:cs="Arial"/>
          <w:i/>
          <w:iCs/>
          <w:color w:val="262626" w:themeColor="text1" w:themeTint="D9"/>
          <w:sz w:val="18"/>
          <w:szCs w:val="18"/>
          <w:lang w:val="en"/>
          <w14:textFill>
            <w14:solidFill>
              <w14:schemeClr w14:val="tx1">
                <w14:lumMod w14:val="85000"/>
                <w14:lumOff w14:val="15000"/>
              </w14:schemeClr>
            </w14:solidFill>
          </w14:textFill>
        </w:rPr>
      </w:pPr>
      <w:r>
        <w:rPr>
          <w:rFonts w:ascii="Arial" w:hAnsi="Arial" w:cs="Arial"/>
          <w:i/>
          <w:iCs/>
          <w:color w:val="262626" w:themeColor="text1" w:themeTint="D9"/>
          <w:sz w:val="18"/>
          <w:szCs w:val="18"/>
          <w:lang w:val="en"/>
          <w14:textFill>
            <w14:solidFill>
              <w14:schemeClr w14:val="tx1">
                <w14:lumMod w14:val="85000"/>
                <w14:lumOff w14:val="15000"/>
              </w14:schemeClr>
            </w14:solidFill>
          </w14:textFill>
        </w:rPr>
        <w:t>Op. Pri označenih državah (*) so podatki starejši od enega dne.</w:t>
      </w:r>
    </w:p>
    <w:p>
      <w:pPr>
        <w:rPr>
          <w:rFonts w:hint="default" w:ascii="Arial" w:hAnsi="Arial" w:cs="Arial"/>
          <w:i/>
          <w:iCs/>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i/>
          <w:iCs/>
          <w:color w:val="262626" w:themeColor="text1" w:themeTint="D9"/>
          <w:sz w:val="18"/>
          <w:szCs w:val="18"/>
          <w:lang w:val="en"/>
          <w14:textFill>
            <w14:solidFill>
              <w14:schemeClr w14:val="tx1">
                <w14:lumMod w14:val="85000"/>
                <w14:lumOff w14:val="15000"/>
              </w14:schemeClr>
            </w14:solidFill>
          </w14:textFill>
        </w:rPr>
        <w:t>Op za IT (**): .Dnevno povečanje števila okuženih na dan 29.04. je 2.086 oseb.</w:t>
      </w:r>
    </w:p>
    <w:p>
      <w:pPr>
        <w:numPr>
          <w:ilvl w:val="0"/>
          <w:numId w:val="1"/>
        </w:numPr>
        <w:rPr>
          <w:rFonts w:ascii="Arial" w:hAnsi="Arial" w:cs="Arial"/>
          <w:b/>
          <w:bCs/>
          <w:i/>
          <w:iCs/>
          <w:color w:val="262626" w:themeColor="text1" w:themeTint="D9"/>
          <w:lang w:val="en"/>
          <w14:textFill>
            <w14:solidFill>
              <w14:schemeClr w14:val="tx1">
                <w14:lumMod w14:val="85000"/>
                <w14:lumOff w14:val="15000"/>
              </w14:schemeClr>
            </w14:solidFill>
          </w14:textFill>
        </w:rPr>
      </w:pPr>
      <w:r>
        <w:rPr>
          <w:rFonts w:ascii="Arial" w:hAnsi="Arial" w:cs="Arial"/>
          <w:b/>
          <w:bCs/>
          <w:i/>
          <w:iCs/>
          <w:color w:val="262626" w:themeColor="text1" w:themeTint="D9"/>
          <w:lang w:val="en"/>
          <w14:textFill>
            <w14:solidFill>
              <w14:schemeClr w14:val="tx1">
                <w14:lumMod w14:val="85000"/>
                <w14:lumOff w14:val="15000"/>
              </w14:schemeClr>
            </w14:solidFill>
          </w14:textFill>
        </w:rPr>
        <w:t>Spremljanje dela mednarodnih organizacij</w:t>
      </w:r>
    </w:p>
    <w:p>
      <w:pPr>
        <w:numPr>
          <w:ilvl w:val="0"/>
          <w:numId w:val="0"/>
        </w:numPr>
        <w:rPr>
          <w:rFonts w:hint="default" w:ascii="Arial" w:hAnsi="Arial" w:cs="Arial"/>
          <w:b/>
          <w:bCs/>
          <w:color w:val="262626" w:themeColor="text1" w:themeTint="D9"/>
          <w:lang w:val="en"/>
          <w14:textFill>
            <w14:solidFill>
              <w14:schemeClr w14:val="tx1">
                <w14:lumMod w14:val="85000"/>
                <w14:lumOff w14:val="15000"/>
              </w14:schemeClr>
            </w14:solidFill>
          </w14:textFill>
        </w:rPr>
      </w:pPr>
      <w:r>
        <w:rPr>
          <w:rFonts w:ascii="Arial" w:hAnsi="Arial" w:cs="Arial"/>
          <w:b/>
          <w:bCs/>
          <w:color w:val="262626" w:themeColor="text1" w:themeTint="D9"/>
          <w:lang w:val="en"/>
          <w14:textFill>
            <w14:solidFill>
              <w14:schemeClr w14:val="tx1">
                <w14:lumMod w14:val="85000"/>
                <w14:lumOff w14:val="15000"/>
              </w14:schemeClr>
            </w14:solidFill>
          </w14:textFill>
        </w:rPr>
        <w:t>WH</w:t>
      </w:r>
      <w:r>
        <w:rPr>
          <w:rFonts w:hint="default" w:ascii="Arial" w:hAnsi="Arial" w:cs="Arial"/>
          <w:b/>
          <w:bCs/>
          <w:color w:val="262626" w:themeColor="text1" w:themeTint="D9"/>
          <w:lang w:val="en"/>
          <w14:textFill>
            <w14:solidFill>
              <w14:schemeClr w14:val="tx1">
                <w14:lumMod w14:val="85000"/>
                <w14:lumOff w14:val="15000"/>
              </w14:schemeClr>
            </w14:solidFill>
          </w14:textFill>
        </w:rPr>
        <w:t>O</w:t>
      </w:r>
    </w:p>
    <w:p>
      <w:pPr>
        <w:numPr>
          <w:ilvl w:val="0"/>
          <w:numId w:val="0"/>
        </w:numPr>
        <w:rPr>
          <w:rFonts w:hint="default" w:ascii="Arial" w:hAnsi="Arial" w:cs="Arial"/>
          <w:b w:val="0"/>
          <w:bCs w:val="0"/>
          <w:color w:val="262626" w:themeColor="text1" w:themeTint="D9"/>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lang w:val="en"/>
          <w14:textFill>
            <w14:solidFill>
              <w14:schemeClr w14:val="tx1">
                <w14:lumMod w14:val="85000"/>
                <w14:lumOff w14:val="15000"/>
              </w14:schemeClr>
            </w14:solidFill>
          </w14:textFill>
        </w:rPr>
        <w:t xml:space="preserve">Glede na to, da bo jutri (30. aprila) tri mesece od razglasitve PHEIC (javno-zdravstveno izredno stanje mednarodnih razsežnosti), je na današnji tiskovni konferenci GD WHO povzel aktivnost WHO v tem obdobju. </w:t>
      </w:r>
    </w:p>
    <w:p>
      <w:pPr>
        <w:numPr>
          <w:ilvl w:val="0"/>
          <w:numId w:val="0"/>
        </w:numPr>
        <w:rPr>
          <w:rFonts w:hint="default" w:ascii="Arial" w:hAnsi="Arial" w:cs="Arial"/>
          <w:b w:val="0"/>
          <w:bCs w:val="0"/>
          <w:color w:val="262626" w:themeColor="text1" w:themeTint="D9"/>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lang w:val="en"/>
          <w14:textFill>
            <w14:solidFill>
              <w14:schemeClr w14:val="tx1">
                <w14:lumMod w14:val="85000"/>
                <w14:lumOff w14:val="15000"/>
              </w14:schemeClr>
            </w14:solidFill>
          </w14:textFill>
        </w:rPr>
        <w:t>31. decembra je epidemiološki informacijskih center WHO odkril poročilo o določenem številu bolnikov z neznano pljučnico v Wuhanu na Kitajskem;</w:t>
      </w:r>
    </w:p>
    <w:p>
      <w:pPr>
        <w:numPr>
          <w:ilvl w:val="0"/>
          <w:numId w:val="0"/>
        </w:numPr>
        <w:rPr>
          <w:rFonts w:hint="default" w:ascii="Arial" w:hAnsi="Arial" w:cs="Arial"/>
          <w:b w:val="0"/>
          <w:bCs w:val="0"/>
          <w:color w:val="262626" w:themeColor="text1" w:themeTint="D9"/>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lang w:val="en"/>
          <w14:textFill>
            <w14:solidFill>
              <w14:schemeClr w14:val="tx1">
                <w14:lumMod w14:val="85000"/>
                <w14:lumOff w14:val="15000"/>
              </w14:schemeClr>
            </w14:solidFill>
          </w14:textFill>
        </w:rPr>
        <w:t>1. januarja je WHO Kitajsko zaprosil za informacije na podlagi IHR (Mednarodna zdravstvena pravila) in aktiviral "Incident Managment Support Team" (le nekaj ur po obvestilu) za koordinacijo odziva med sedežem WHO ter regionalno in kitajsko pisarno;</w:t>
      </w:r>
    </w:p>
    <w:p>
      <w:pPr>
        <w:numPr>
          <w:ilvl w:val="0"/>
          <w:numId w:val="0"/>
        </w:numPr>
        <w:rPr>
          <w:rFonts w:hint="default" w:ascii="Arial" w:hAnsi="Arial" w:cs="Arial"/>
          <w:b w:val="0"/>
          <w:bCs w:val="0"/>
          <w:color w:val="262626" w:themeColor="text1" w:themeTint="D9"/>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lang w:val="en"/>
          <w14:textFill>
            <w14:solidFill>
              <w14:schemeClr w14:val="tx1">
                <w14:lumMod w14:val="85000"/>
                <w14:lumOff w14:val="15000"/>
              </w14:schemeClr>
            </w14:solidFill>
          </w14:textFill>
        </w:rPr>
        <w:t>2. januarja je WHO obvestil GOARN (Global Outbreak Alert and Response Network), ki vključuje več kot 260 institucij in več kot 70 držav;</w:t>
      </w:r>
    </w:p>
    <w:p>
      <w:pPr>
        <w:numPr>
          <w:ilvl w:val="0"/>
          <w:numId w:val="0"/>
        </w:numPr>
        <w:rPr>
          <w:rFonts w:hint="default" w:ascii="Arial" w:hAnsi="Arial" w:cs="Arial"/>
          <w:b w:val="0"/>
          <w:bCs w:val="0"/>
          <w:color w:val="262626" w:themeColor="text1" w:themeTint="D9"/>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lang w:val="en"/>
          <w14:textFill>
            <w14:solidFill>
              <w14:schemeClr w14:val="tx1">
                <w14:lumMod w14:val="85000"/>
                <w14:lumOff w14:val="15000"/>
              </w14:schemeClr>
            </w14:solidFill>
          </w14:textFill>
        </w:rPr>
        <w:t>3. januarja je Kitajska dala info preko dveh kanalov: sestanek v Pekingu in preko WHO info-sistema o dogodkih (Event Information System - EIS), kot sledi iz IHR;</w:t>
      </w:r>
    </w:p>
    <w:p>
      <w:pPr>
        <w:numPr>
          <w:ilvl w:val="0"/>
          <w:numId w:val="0"/>
        </w:numPr>
        <w:rPr>
          <w:rFonts w:hint="default" w:ascii="Arial" w:hAnsi="Arial" w:cs="Arial"/>
          <w:b w:val="0"/>
          <w:bCs w:val="0"/>
          <w:color w:val="262626" w:themeColor="text1" w:themeTint="D9"/>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lang w:val="en"/>
          <w14:textFill>
            <w14:solidFill>
              <w14:schemeClr w14:val="tx1">
                <w14:lumMod w14:val="85000"/>
                <w14:lumOff w14:val="15000"/>
              </w14:schemeClr>
            </w14:solidFill>
          </w14:textFill>
        </w:rPr>
        <w:t>4. januarja WHO objavi novico o obolelih za neznano pljučnico na twitterju;</w:t>
      </w:r>
    </w:p>
    <w:p>
      <w:pPr>
        <w:numPr>
          <w:ilvl w:val="0"/>
          <w:numId w:val="0"/>
        </w:numPr>
        <w:rPr>
          <w:rFonts w:hint="default" w:ascii="Arial" w:hAnsi="Arial" w:cs="Arial"/>
          <w:b w:val="0"/>
          <w:bCs w:val="0"/>
          <w:color w:val="262626" w:themeColor="text1" w:themeTint="D9"/>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lang w:val="en"/>
          <w14:textFill>
            <w14:solidFill>
              <w14:schemeClr w14:val="tx1">
                <w14:lumMod w14:val="85000"/>
                <w14:lumOff w14:val="15000"/>
              </w14:schemeClr>
            </w14:solidFill>
          </w14:textFill>
        </w:rPr>
        <w:t>5. januarja WHO uradno obvesti preko EIS z detajlno tehnično informacijo, vključno z nasvetom vsem državam članicam in IHR-kontaktnim točkam za sprejemanje previdnostnih ukrepov za zmanjšanje rizika akutne respiratorne infekcije in usmeritvijo, da je možen prenos s človeka na človeka;</w:t>
      </w:r>
    </w:p>
    <w:p>
      <w:pPr>
        <w:numPr>
          <w:ilvl w:val="0"/>
          <w:numId w:val="0"/>
        </w:numPr>
        <w:rPr>
          <w:rFonts w:hint="default" w:ascii="Arial" w:hAnsi="Arial" w:cs="Arial"/>
          <w:b w:val="0"/>
          <w:bCs w:val="0"/>
          <w:color w:val="262626" w:themeColor="text1" w:themeTint="D9"/>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lang w:val="en"/>
          <w14:textFill>
            <w14:solidFill>
              <w14:schemeClr w14:val="tx1">
                <w14:lumMod w14:val="85000"/>
                <w14:lumOff w14:val="15000"/>
              </w14:schemeClr>
            </w14:solidFill>
          </w14:textFill>
        </w:rPr>
        <w:t>5. januarja WHO izda tudi prvo javno "Disease Outbreak News", tehnična informacija je izdana tudi za znanstveno in javno-zdravstveno skupnost, tudi za svetovne medije;</w:t>
      </w:r>
    </w:p>
    <w:p>
      <w:pPr>
        <w:numPr>
          <w:ilvl w:val="0"/>
          <w:numId w:val="0"/>
        </w:numPr>
        <w:rPr>
          <w:rFonts w:hint="default" w:ascii="Arial" w:hAnsi="Arial" w:cs="Arial"/>
          <w:b w:val="0"/>
          <w:bCs w:val="0"/>
          <w:color w:val="262626" w:themeColor="text1" w:themeTint="D9"/>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lang w:val="en"/>
          <w14:textFill>
            <w14:solidFill>
              <w14:schemeClr w14:val="tx1">
                <w14:lumMod w14:val="85000"/>
                <w14:lumOff w14:val="15000"/>
              </w14:schemeClr>
            </w14:solidFill>
          </w14:textFill>
        </w:rPr>
        <w:t>10. in 11. januarja WHO izda celovit paket usmeritev, kako detektirati, testirati in upravljati s primeri okuženih z novo boleznijo, in kako zaščititi zdravstvene delavce pred prenosom bolezni s človeka na človeka (temelječ predvsem na prejšnjih izkušnjah in delu s koronavirusi); WHO je podal tudi nasvet glede rizika okužb zunaj province Wuhan;</w:t>
      </w:r>
    </w:p>
    <w:p>
      <w:pPr>
        <w:numPr>
          <w:ilvl w:val="0"/>
          <w:numId w:val="0"/>
        </w:numPr>
        <w:rPr>
          <w:rFonts w:hint="default" w:ascii="Arial" w:hAnsi="Arial" w:cs="Arial"/>
          <w:b w:val="0"/>
          <w:bCs w:val="0"/>
          <w:color w:val="262626" w:themeColor="text1" w:themeTint="D9"/>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lang w:val="en"/>
          <w14:textFill>
            <w14:solidFill>
              <w14:schemeClr w14:val="tx1">
                <w14:lumMod w14:val="85000"/>
                <w14:lumOff w14:val="15000"/>
              </w14:schemeClr>
            </w14:solidFill>
          </w14:textFill>
        </w:rPr>
        <w:t>11. januarja je Kitajska dala vzorce genetske sekvence virusa – za uporabo pri razvoju kitov za testiranje;</w:t>
      </w:r>
    </w:p>
    <w:p>
      <w:pPr>
        <w:numPr>
          <w:ilvl w:val="0"/>
          <w:numId w:val="0"/>
        </w:numPr>
        <w:rPr>
          <w:rFonts w:hint="default" w:ascii="Arial" w:hAnsi="Arial" w:cs="Arial"/>
          <w:b w:val="0"/>
          <w:bCs w:val="0"/>
          <w:color w:val="262626" w:themeColor="text1" w:themeTint="D9"/>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lang w:val="en"/>
          <w14:textFill>
            <w14:solidFill>
              <w14:schemeClr w14:val="tx1">
                <w14:lumMod w14:val="85000"/>
                <w14:lumOff w14:val="15000"/>
              </w14:schemeClr>
            </w14:solidFill>
          </w14:textFill>
        </w:rPr>
        <w:t>11. januarja Kitajska poroča o prvi smrtni žrtvi;</w:t>
      </w:r>
    </w:p>
    <w:p>
      <w:pPr>
        <w:numPr>
          <w:ilvl w:val="0"/>
          <w:numId w:val="0"/>
        </w:numPr>
        <w:rPr>
          <w:rFonts w:hint="default" w:ascii="Arial" w:hAnsi="Arial" w:cs="Arial"/>
          <w:b w:val="0"/>
          <w:bCs w:val="0"/>
          <w:color w:val="262626" w:themeColor="text1" w:themeTint="D9"/>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lang w:val="en"/>
          <w14:textFill>
            <w14:solidFill>
              <w14:schemeClr w14:val="tx1">
                <w14:lumMod w14:val="85000"/>
                <w14:lumOff w14:val="15000"/>
              </w14:schemeClr>
            </w14:solidFill>
          </w14:textFill>
        </w:rPr>
        <w:t>13. januarja Tajska poroča o prvem primeru okužbe zunaj Kitajske;</w:t>
      </w:r>
    </w:p>
    <w:p>
      <w:pPr>
        <w:numPr>
          <w:ilvl w:val="0"/>
          <w:numId w:val="0"/>
        </w:numPr>
        <w:rPr>
          <w:rFonts w:hint="default" w:ascii="Arial" w:hAnsi="Arial" w:cs="Arial"/>
          <w:b w:val="0"/>
          <w:bCs w:val="0"/>
          <w:color w:val="262626" w:themeColor="text1" w:themeTint="D9"/>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lang w:val="en"/>
          <w14:textFill>
            <w14:solidFill>
              <w14:schemeClr w14:val="tx1">
                <w14:lumMod w14:val="85000"/>
                <w14:lumOff w14:val="15000"/>
              </w14:schemeClr>
            </w14:solidFill>
          </w14:textFill>
        </w:rPr>
        <w:t>13. januarja WHO objavi prvo navodilo, kako izdelati diagnostične kite za testiranje, da bi lahko začeli z odkrivanjem okuženih;</w:t>
      </w:r>
    </w:p>
    <w:p>
      <w:pPr>
        <w:numPr>
          <w:ilvl w:val="0"/>
          <w:numId w:val="0"/>
        </w:numPr>
        <w:rPr>
          <w:rFonts w:hint="default" w:ascii="Arial" w:hAnsi="Arial" w:cs="Arial"/>
          <w:b w:val="0"/>
          <w:bCs w:val="0"/>
          <w:color w:val="262626" w:themeColor="text1" w:themeTint="D9"/>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lang w:val="en"/>
          <w14:textFill>
            <w14:solidFill>
              <w14:schemeClr w14:val="tx1">
                <w14:lumMod w14:val="85000"/>
                <w14:lumOff w14:val="15000"/>
              </w14:schemeClr>
            </w14:solidFill>
          </w14:textFill>
        </w:rPr>
        <w:t>14. januarja WHO objavi kitajsko poročilo, da kitajske preliminarne raziskave niso potrdile prenosa virusa s človeka na človeka (WHO nikoli ne spreminja nacionalnih poročil!);</w:t>
      </w:r>
    </w:p>
    <w:p>
      <w:pPr>
        <w:numPr>
          <w:ilvl w:val="0"/>
          <w:numId w:val="0"/>
        </w:numPr>
        <w:rPr>
          <w:rFonts w:hint="default" w:ascii="Arial" w:hAnsi="Arial" w:cs="Arial"/>
          <w:b w:val="0"/>
          <w:bCs w:val="0"/>
          <w:color w:val="262626" w:themeColor="text1" w:themeTint="D9"/>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lang w:val="en"/>
          <w14:textFill>
            <w14:solidFill>
              <w14:schemeClr w14:val="tx1">
                <w14:lumMod w14:val="85000"/>
                <w14:lumOff w14:val="15000"/>
              </w14:schemeClr>
            </w14:solidFill>
          </w14:textFill>
        </w:rPr>
        <w:t>14. januarja je WHO na svojem brifingu za medije povedala, da je na osnovi izkušenj s koronavirusi prenos okužbe s človeka na človeka zelo verjeten;</w:t>
      </w:r>
    </w:p>
    <w:p>
      <w:pPr>
        <w:numPr>
          <w:ilvl w:val="0"/>
          <w:numId w:val="0"/>
        </w:numPr>
        <w:rPr>
          <w:rFonts w:hint="default" w:ascii="Arial" w:hAnsi="Arial" w:cs="Arial"/>
          <w:b w:val="0"/>
          <w:bCs w:val="0"/>
          <w:color w:val="262626" w:themeColor="text1" w:themeTint="D9"/>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lang w:val="en"/>
          <w14:textFill>
            <w14:solidFill>
              <w14:schemeClr w14:val="tx1">
                <w14:lumMod w14:val="85000"/>
                <w14:lumOff w14:val="15000"/>
              </w14:schemeClr>
            </w14:solidFill>
          </w14:textFill>
        </w:rPr>
        <w:t>20. in 21. januarja WHO tim obišče Wuhan;</w:t>
      </w:r>
    </w:p>
    <w:p>
      <w:pPr>
        <w:numPr>
          <w:ilvl w:val="0"/>
          <w:numId w:val="0"/>
        </w:numPr>
        <w:rPr>
          <w:rFonts w:hint="default" w:ascii="Arial" w:hAnsi="Arial" w:cs="Arial"/>
          <w:b w:val="0"/>
          <w:bCs w:val="0"/>
          <w:color w:val="262626" w:themeColor="text1" w:themeTint="D9"/>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lang w:val="en"/>
          <w14:textFill>
            <w14:solidFill>
              <w14:schemeClr w14:val="tx1">
                <w14:lumMod w14:val="85000"/>
                <w14:lumOff w14:val="15000"/>
              </w14:schemeClr>
            </w14:solidFill>
          </w14:textFill>
        </w:rPr>
        <w:t>22. januarja WHO tim poroča, da dokazi pričajo o prenosu okužbe s človeka na človeka;</w:t>
      </w:r>
    </w:p>
    <w:p>
      <w:pPr>
        <w:numPr>
          <w:ilvl w:val="0"/>
          <w:numId w:val="0"/>
        </w:numPr>
        <w:rPr>
          <w:rFonts w:hint="default" w:ascii="Arial" w:hAnsi="Arial" w:cs="Arial"/>
          <w:b w:val="0"/>
          <w:bCs w:val="0"/>
          <w:color w:val="262626" w:themeColor="text1" w:themeTint="D9"/>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lang w:val="en"/>
          <w14:textFill>
            <w14:solidFill>
              <w14:schemeClr w14:val="tx1">
                <w14:lumMod w14:val="85000"/>
                <w14:lumOff w14:val="15000"/>
              </w14:schemeClr>
            </w14:solidFill>
          </w14:textFill>
        </w:rPr>
        <w:t>22. in 23. januarja GD WHO skliče Odbor za nujne primere (Emergency Committee), ki ga sestavlja 15 neodvisnih strokovnjakov, ki pa niso bili soglasni, zatorej niso priporočili razglasitve PHEIC, a so se odločili za ponoven sestanek čez 10 dni, ko bo na voljo več info in dokazov;</w:t>
      </w:r>
    </w:p>
    <w:p>
      <w:pPr>
        <w:numPr>
          <w:ilvl w:val="0"/>
          <w:numId w:val="0"/>
        </w:numPr>
        <w:rPr>
          <w:rFonts w:hint="default" w:ascii="Arial" w:hAnsi="Arial" w:cs="Arial"/>
          <w:b w:val="0"/>
          <w:bCs w:val="0"/>
          <w:color w:val="262626" w:themeColor="text1" w:themeTint="D9"/>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lang w:val="en"/>
          <w14:textFill>
            <w14:solidFill>
              <w14:schemeClr w14:val="tx1">
                <w14:lumMod w14:val="85000"/>
                <w14:lumOff w14:val="15000"/>
              </w14:schemeClr>
            </w14:solidFill>
          </w14:textFill>
        </w:rPr>
        <w:t>27. januarja GD WHO obišče Peking, skupaj s šefom za nujne primere dr. Ryanom, kjer se dogovorijo za obisk mednarodnega tima znanstvenih ekspertov;</w:t>
      </w:r>
    </w:p>
    <w:p>
      <w:pPr>
        <w:numPr>
          <w:ilvl w:val="0"/>
          <w:numId w:val="0"/>
        </w:numPr>
        <w:rPr>
          <w:rFonts w:hint="default" w:ascii="Arial" w:hAnsi="Arial" w:cs="Arial"/>
          <w:b w:val="0"/>
          <w:bCs w:val="0"/>
          <w:color w:val="262626" w:themeColor="text1" w:themeTint="D9"/>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lang w:val="en"/>
          <w14:textFill>
            <w14:solidFill>
              <w14:schemeClr w14:val="tx1">
                <w14:lumMod w14:val="85000"/>
                <w14:lumOff w14:val="15000"/>
              </w14:schemeClr>
            </w14:solidFill>
          </w14:textFill>
        </w:rPr>
        <w:t>30. januarja ponovno zaseda Odbor za nujne primere in konsenzualno svetuje GD WHO, ki nato razglasi PHEIC (takrat izven Kitajske 82 primerov in nič smrtnih primerov).</w:t>
      </w:r>
    </w:p>
    <w:p>
      <w:pPr>
        <w:numPr>
          <w:ilvl w:val="0"/>
          <w:numId w:val="0"/>
        </w:numPr>
        <w:rPr>
          <w:rFonts w:hint="default" w:ascii="Arial" w:hAnsi="Arial" w:cs="Arial"/>
          <w:b w:val="0"/>
          <w:bCs w:val="0"/>
          <w:color w:val="262626" w:themeColor="text1" w:themeTint="D9"/>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lang w:val="en"/>
          <w14:textFill>
            <w14:solidFill>
              <w14:schemeClr w14:val="tx1">
                <w14:lumMod w14:val="85000"/>
                <w14:lumOff w14:val="15000"/>
              </w14:schemeClr>
            </w14:solidFill>
          </w14:textFill>
        </w:rPr>
        <w:t>GD WHO poudarja, da je WHO delovala hitro, odločno, transparentno in zgodaj ter neprestano ponavljala opozorila, da se je potrebno pripraviti in preprečiti širjenje bolezni. Jutri je sklicano zasedanje Odbora za nujne primere, za ponovno oceno razvoja pandemije in za nasvet o priporočilih.</w:t>
      </w:r>
    </w:p>
    <w:p>
      <w:pPr>
        <w:numPr>
          <w:ilvl w:val="0"/>
          <w:numId w:val="0"/>
        </w:numPr>
        <w:rPr>
          <w:rFonts w:hint="default" w:ascii="Arial" w:hAnsi="Arial" w:cs="Arial"/>
          <w:b w:val="0"/>
          <w:bCs w:val="0"/>
          <w:color w:val="262626" w:themeColor="text1" w:themeTint="D9"/>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lang w:val="en"/>
          <w14:textFill>
            <w14:solidFill>
              <w14:schemeClr w14:val="tx1">
                <w14:lumMod w14:val="85000"/>
                <w14:lumOff w14:val="15000"/>
              </w14:schemeClr>
            </w14:solidFill>
          </w14:textFill>
        </w:rPr>
        <w:t>V teh treh mesecih se je WHO trudila pomagati državam članicam reševati življenja, deliti informacije in izkušnje, spodbuditi sodelovanje, lansirati številne projekte (za znanstveno sodelovanje, za zbiranje sredstev, za zagotavljanje zaščitne opreme, za izobraževanje in usposabljanje, za kredibilno informiranje).</w:t>
      </w:r>
    </w:p>
    <w:p>
      <w:pPr>
        <w:numPr>
          <w:ilvl w:val="0"/>
          <w:numId w:val="0"/>
        </w:numPr>
        <w:rPr>
          <w:rFonts w:hint="default" w:ascii="Arial" w:hAnsi="Arial" w:cs="Arial"/>
          <w:b w:val="0"/>
          <w:bCs w:val="0"/>
          <w:color w:val="262626" w:themeColor="text1" w:themeTint="D9"/>
          <w:lang w:val="en"/>
          <w14:textFill>
            <w14:solidFill>
              <w14:schemeClr w14:val="tx1">
                <w14:lumMod w14:val="85000"/>
                <w14:lumOff w14:val="15000"/>
              </w14:schemeClr>
            </w14:solidFill>
          </w14:textFill>
        </w:rPr>
      </w:pPr>
    </w:p>
    <w:p>
      <w:pPr>
        <w:numPr>
          <w:ilvl w:val="0"/>
          <w:numId w:val="0"/>
        </w:numPr>
        <w:rPr>
          <w:rFonts w:hint="default" w:ascii="Arial" w:hAnsi="Arial" w:cs="Arial"/>
          <w:b w:val="0"/>
          <w:bCs w:val="0"/>
          <w:color w:val="262626" w:themeColor="text1" w:themeTint="D9"/>
          <w:lang w:val="en"/>
          <w14:textFill>
            <w14:solidFill>
              <w14:schemeClr w14:val="tx1">
                <w14:lumMod w14:val="85000"/>
                <w14:lumOff w14:val="15000"/>
              </w14:schemeClr>
            </w14:solidFill>
          </w14:textFill>
        </w:rPr>
      </w:pPr>
    </w:p>
    <w:p>
      <w:pPr>
        <w:rPr>
          <w:rFonts w:ascii="Arial" w:hAnsi="Arial" w:cs="Arial"/>
          <w:i/>
          <w:i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i/>
          <w:iCs/>
          <w:color w:val="262626" w:themeColor="text1" w:themeTint="D9"/>
          <w:lang w:val="en"/>
          <w14:textFill>
            <w14:solidFill>
              <w14:schemeClr w14:val="tx1">
                <w14:lumMod w14:val="85000"/>
                <w14:lumOff w14:val="15000"/>
              </w14:schemeClr>
            </w14:solidFill>
          </w14:textFill>
        </w:rPr>
        <w:t>3. Pregled dnevnih sprememb ukrepov po državah</w:t>
      </w:r>
    </w:p>
    <w:tbl>
      <w:tblPr>
        <w:tblStyle w:val="8"/>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779"/>
        <w:gridCol w:w="4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2" w:type="dxa"/>
            <w:vAlign w:val="center"/>
          </w:tcPr>
          <w:p>
            <w:pPr>
              <w:widowControl w:val="0"/>
              <w:spacing w:line="240" w:lineRule="auto"/>
              <w:jc w:val="center"/>
              <w:rPr>
                <w:rFonts w:ascii="Arial" w:hAnsi="Arial" w:cs="Arial"/>
                <w:b/>
                <w:bCs/>
                <w:color w:val="262626" w:themeColor="text1" w:themeTint="D9"/>
                <w:sz w:val="18"/>
                <w:szCs w:val="18"/>
                <w:lang w:val="sl"/>
                <w14:textFill>
                  <w14:solidFill>
                    <w14:schemeClr w14:val="tx1">
                      <w14:lumMod w14:val="85000"/>
                      <w14:lumOff w14:val="15000"/>
                    </w14:schemeClr>
                  </w14:solidFill>
                </w14:textFill>
              </w:rPr>
            </w:pPr>
          </w:p>
        </w:tc>
        <w:tc>
          <w:tcPr>
            <w:tcW w:w="4779"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Zajezitveni in zdravstveni ukrepi</w:t>
            </w:r>
          </w:p>
        </w:tc>
        <w:tc>
          <w:tcPr>
            <w:tcW w:w="4893"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 xml:space="preserve">Priprava na sproščanje ukrepov in </w:t>
            </w:r>
            <w:r>
              <w:rPr>
                <w:rFonts w:hint="default" w:ascii="Arial" w:hAnsi="Arial" w:cs="Arial"/>
                <w:b/>
                <w:bCs/>
                <w:color w:val="262626" w:themeColor="text1" w:themeTint="D9"/>
                <w:sz w:val="18"/>
                <w:szCs w:val="18"/>
                <w:lang w:val="en"/>
                <w14:textFill>
                  <w14:solidFill>
                    <w14:schemeClr w14:val="tx1">
                      <w14:lumMod w14:val="85000"/>
                      <w14:lumOff w14:val="15000"/>
                    </w14:schemeClr>
                  </w14:solidFill>
                </w14:textFill>
              </w:rPr>
              <w:t>g</w:t>
            </w: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ospodarski ukrepi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642" w:type="dxa"/>
            <w:vAlign w:val="center"/>
          </w:tcPr>
          <w:p>
            <w:pPr>
              <w:widowControl w:val="0"/>
              <w:spacing w:line="240" w:lineRule="auto"/>
              <w:jc w:val="center"/>
              <w:rPr>
                <w:rFonts w:ascii="Arial" w:hAnsi="Arial" w:cs="Arial"/>
                <w:color w:val="262626" w:themeColor="text1" w:themeTint="D9"/>
                <w:sz w:val="18"/>
                <w:szCs w:val="18"/>
                <w:lang w:val="en"/>
                <w14:textFill>
                  <w14:solidFill>
                    <w14:schemeClr w14:val="tx1">
                      <w14:lumMod w14:val="85000"/>
                      <w14:lumOff w14:val="15000"/>
                    </w14:schemeClr>
                  </w14:solidFill>
                </w14:textFill>
              </w:rPr>
            </w:pPr>
            <w:r>
              <w:rPr>
                <w:rFonts w:ascii="Arial" w:hAnsi="Arial" w:cs="Arial"/>
                <w:color w:val="262626" w:themeColor="text1" w:themeTint="D9"/>
                <w:sz w:val="18"/>
                <w:szCs w:val="18"/>
                <w:lang w:val="en"/>
                <w14:textFill>
                  <w14:solidFill>
                    <w14:schemeClr w14:val="tx1">
                      <w14:lumMod w14:val="85000"/>
                      <w14:lumOff w14:val="15000"/>
                    </w14:schemeClr>
                  </w14:solidFill>
                </w14:textFill>
              </w:rPr>
              <w:t>IT</w:t>
            </w:r>
          </w:p>
        </w:tc>
        <w:tc>
          <w:tcPr>
            <w:tcW w:w="4779" w:type="dxa"/>
          </w:tcPr>
          <w:p>
            <w:pPr>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Komisar za izredne razmere je napovedal, da bo v nekaj dneh podpisan sporazum, ki bo zagotovil dobavo zaščitnih mask za lekarne. V kolikor bi bilo potrebno se lahko  s pričetkom 2. faze (4.5.) razdeli 12 mio mask na dan, z junijem 18 mio, z avgustom pa 24 mio na dan. Zastonj jih lahko dobijo zdravstveni delavci, javna administracija, varnostne sile, javni promet in zavodi za ostarele. Državljani jih lahko kupijo po ceni največ 0.50 Eur.</w:t>
            </w:r>
          </w:p>
          <w:p>
            <w:pPr>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Komisar za izredne razmere je zagotovil, da je Italija sedaj pripravljena na hujše razmere, kot jih je doživela ob vrhuncu izbruha. Od prvotnih 5.200 postelj v intenzivnih terapijah je zmogljivost povečala na 9.000 postelj. Razdeljenih je bilo 4.200 respiratorjev, pri čemer se število lahko v nekaj dneh podvoji.  </w:t>
            </w:r>
          </w:p>
        </w:tc>
        <w:tc>
          <w:tcPr>
            <w:tcW w:w="4893" w:type="dxa"/>
          </w:tcPr>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29.4. so opozicijske stranke desne sredine (Liga, Bratje Italije, Naprej Italije) v Poslansko zbornico vložile resolucijo s pozivom vladi k povrnitvi vseh ustavnih svoboščin, ki so bile omejene z »lockdown« države, upoštevajoč zdravstvene varnostne ukrepe. Hkrati so pozvale k vrnitvi k normalni parlamentarni razpravi glede odlokov o izhodu iz krize. </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 Predsedniki dežel iz strank desne sredine (tudi predsednik AD FJK) so poslali skupno pismo PR Mattarelli in PV Conteju, s pozivom k normalizaciji razmer v fazi 2 in k vrnitvi porazdelitve pristojnosti med državo in deželami, predvideni z IT ustavo (vrnitev več pristojnosti deželam). </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 Minister za regionalna vprašanja je predlagal, da dežele izdajajo regionalne uredbe v skladu z odlokom PV, sicer bodo poklicane, da uredbe prekličejo. Na podlagi testiranj in opazovanj stanja okužb v naslednjih tednih bi se lahko z 18. majem omogočilo diferencirane odločitve za posamezne dežele glede odpiranj po principu: manj okužb, več sproščanja ukrepov.  </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Dežela Kalabrija z 30.4. napovedala odprtje barov, slaščičarn, restavracij, agriturizmov s strežbo izključno pri mizah na terasah.</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 Protesti  lastnikov restavracij in različnih lokalov po različnih delih Italije s pozivi k čimprejšnji dovolitvi odprtja. </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 Ministrica za šolstvo je napovedala, da se bo matura (v živo, vendar zgolj ustno) izvedla 17. junija. </w:t>
            </w:r>
          </w:p>
        </w:tc>
      </w:tr>
    </w:tbl>
    <w:p/>
    <w:tbl>
      <w:tblPr>
        <w:tblStyle w:val="8"/>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779"/>
        <w:gridCol w:w="4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642" w:type="dxa"/>
            <w:vAlign w:val="center"/>
          </w:tcPr>
          <w:p>
            <w:pPr>
              <w:widowControl w:val="0"/>
              <w:spacing w:line="240" w:lineRule="auto"/>
              <w:jc w:val="center"/>
              <w:rPr>
                <w:rFonts w:ascii="Arial" w:hAnsi="Arial" w:cs="Arial"/>
                <w:b/>
                <w:bCs/>
                <w:color w:val="262626" w:themeColor="text1" w:themeTint="D9"/>
                <w:sz w:val="18"/>
                <w:szCs w:val="18"/>
                <w:lang w:val="sl"/>
                <w14:textFill>
                  <w14:solidFill>
                    <w14:schemeClr w14:val="tx1">
                      <w14:lumMod w14:val="85000"/>
                      <w14:lumOff w14:val="15000"/>
                    </w14:schemeClr>
                  </w14:solidFill>
                </w14:textFill>
              </w:rPr>
            </w:pPr>
          </w:p>
        </w:tc>
        <w:tc>
          <w:tcPr>
            <w:tcW w:w="4779"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Zajezitveni in zdravstveni ukrepi</w:t>
            </w:r>
          </w:p>
        </w:tc>
        <w:tc>
          <w:tcPr>
            <w:tcW w:w="4966"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Priprava na sproščanje ukrepov in gospodarski ukrepi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642" w:type="dxa"/>
            <w:vAlign w:val="center"/>
          </w:tcPr>
          <w:p>
            <w:pPr>
              <w:widowControl w:val="0"/>
              <w:spacing w:line="240" w:lineRule="auto"/>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AT</w:t>
            </w:r>
          </w:p>
        </w:tc>
        <w:tc>
          <w:tcPr>
            <w:tcW w:w="4779" w:type="dxa"/>
          </w:tcPr>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AT parlament je 28.4. na seji potrdil nadaljnjih trinajst COVID-19-Zakonov s skupaj 36 zakonskimi pobudami, s katerimi naj bi med drugimi odpravili pomanjkljivosti pri državnih pomočeh, določili prehodne socialne ukrepe, postavili zakonske okvire za načrtovano ponovno oživitev javnega življenja, nadaljnje delovanje pravosodja in administracije, omogočili AT udeležbo na skupnih EU pomočeh itd. O paketu mora odločati še Zvezni svet.</w:t>
            </w:r>
          </w:p>
        </w:tc>
        <w:tc>
          <w:tcPr>
            <w:tcW w:w="4966" w:type="dxa"/>
          </w:tcPr>
          <w:p>
            <w:pPr>
              <w:pStyle w:val="9"/>
              <w:widowControl w:val="0"/>
              <w:jc w:val="both"/>
              <w:rPr>
                <w:rFonts w:hint="default" w:ascii="Arial" w:hAnsi="Arial" w:cs="Arial"/>
                <w:b w:val="0"/>
                <w:bCs w:val="0"/>
                <w:color w:val="262626" w:themeColor="text1" w:themeTint="D9"/>
                <w:sz w:val="18"/>
                <w:szCs w:val="18"/>
                <w:u w:val="none"/>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u w:val="none"/>
                <w:lang w:val="en"/>
                <w14:textFill>
                  <w14:solidFill>
                    <w14:schemeClr w14:val="tx1">
                      <w14:lumMod w14:val="85000"/>
                      <w14:lumOff w14:val="15000"/>
                    </w14:schemeClr>
                  </w14:solidFill>
                </w14:textFill>
              </w:rPr>
              <w:t>Sredstva za Korona skrajšano delo bodo ponovno povišana (iz 5) na 10 mrd EUR (če sedaj "porabljenih" 6,7 mrd EUR za 2/3 obstoječih vlog)</w:t>
            </w:r>
          </w:p>
          <w:p>
            <w:pPr>
              <w:pStyle w:val="9"/>
              <w:widowControl w:val="0"/>
              <w:jc w:val="both"/>
              <w:rPr>
                <w:rFonts w:hint="default" w:ascii="Arial" w:hAnsi="Arial" w:cs="Arial"/>
                <w:b w:val="0"/>
                <w:bCs w:val="0"/>
                <w:color w:val="262626" w:themeColor="text1" w:themeTint="D9"/>
                <w:sz w:val="18"/>
                <w:szCs w:val="18"/>
                <w:u w:val="none"/>
                <w:lang w:val="en"/>
                <w14:textFill>
                  <w14:solidFill>
                    <w14:schemeClr w14:val="tx1">
                      <w14:lumMod w14:val="85000"/>
                      <w14:lumOff w14:val="15000"/>
                    </w14:schemeClr>
                  </w14:solidFill>
                </w14:textFill>
              </w:rPr>
            </w:pPr>
          </w:p>
          <w:p>
            <w:pPr>
              <w:pStyle w:val="9"/>
              <w:widowControl w:val="0"/>
              <w:jc w:val="both"/>
              <w:rPr>
                <w:rFonts w:hint="default" w:ascii="Arial" w:hAnsi="Arial" w:cs="Arial"/>
                <w:b w:val="0"/>
                <w:bCs w:val="0"/>
                <w:color w:val="262626" w:themeColor="text1" w:themeTint="D9"/>
                <w:sz w:val="18"/>
                <w:szCs w:val="18"/>
                <w:u w:val="none"/>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u w:val="none"/>
                <w:lang w:val="en"/>
                <w14:textFill>
                  <w14:solidFill>
                    <w14:schemeClr w14:val="tx1">
                      <w14:lumMod w14:val="85000"/>
                      <w14:lumOff w14:val="15000"/>
                    </w14:schemeClr>
                  </w14:solidFill>
                </w14:textFill>
              </w:rPr>
              <w:t>29.4. AUA zaprosila za 767 mio EUR pomoči (od tega naj bi bilo 267 mio EUR novega AT kapitalskega vložka preko krovne družbe Lufthansa)</w:t>
            </w:r>
          </w:p>
          <w:p>
            <w:pPr>
              <w:pStyle w:val="9"/>
              <w:widowControl w:val="0"/>
              <w:jc w:val="both"/>
              <w:rPr>
                <w:rFonts w:hint="default" w:ascii="Arial" w:hAnsi="Arial" w:cs="Arial"/>
                <w:b w:val="0"/>
                <w:bCs w:val="0"/>
                <w:color w:val="262626" w:themeColor="text1" w:themeTint="D9"/>
                <w:sz w:val="18"/>
                <w:szCs w:val="18"/>
                <w:u w:val="none"/>
                <w:lang w:val="en"/>
                <w14:textFill>
                  <w14:solidFill>
                    <w14:schemeClr w14:val="tx1">
                      <w14:lumMod w14:val="85000"/>
                      <w14:lumOff w14:val="15000"/>
                    </w14:schemeClr>
                  </w14:solidFill>
                </w14:textFill>
              </w:rPr>
            </w:pPr>
          </w:p>
          <w:p>
            <w:pPr>
              <w:pStyle w:val="9"/>
              <w:widowControl w:val="0"/>
              <w:jc w:val="both"/>
              <w:rPr>
                <w:rFonts w:hint="default" w:ascii="Arial" w:hAnsi="Arial" w:cs="Arial"/>
                <w:b w:val="0"/>
                <w:bCs w:val="0"/>
                <w:color w:val="262626" w:themeColor="text1" w:themeTint="D9"/>
                <w:sz w:val="18"/>
                <w:szCs w:val="18"/>
                <w:u w:val="none"/>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u w:val="none"/>
                <w:lang w:val="en"/>
                <w14:textFill>
                  <w14:solidFill>
                    <w14:schemeClr w14:val="tx1">
                      <w14:lumMod w14:val="85000"/>
                      <w14:lumOff w14:val="15000"/>
                    </w14:schemeClr>
                  </w14:solidFill>
                </w14:textFill>
              </w:rPr>
              <w:t>Samo v 2. polovici marca je delo izgubilo 195.000 oseb, preko 1,1 mio pa jih je trenutno še dodatno prijavljenih za Korona skrajšano delo (ob sicer aktivnih 4,15 mio, je torej trenutno v AT neaktivnih preko 40%)</w:t>
            </w:r>
          </w:p>
          <w:p>
            <w:pPr>
              <w:pStyle w:val="9"/>
              <w:widowControl w:val="0"/>
              <w:jc w:val="both"/>
              <w:rPr>
                <w:rFonts w:hint="default" w:ascii="Arial" w:hAnsi="Arial" w:cs="Arial"/>
                <w:b w:val="0"/>
                <w:bCs w:val="0"/>
                <w:color w:val="262626" w:themeColor="text1" w:themeTint="D9"/>
                <w:sz w:val="18"/>
                <w:szCs w:val="18"/>
                <w:u w:val="none"/>
                <w:lang w:val="en"/>
                <w14:textFill>
                  <w14:solidFill>
                    <w14:schemeClr w14:val="tx1">
                      <w14:lumMod w14:val="85000"/>
                      <w14:lumOff w14:val="15000"/>
                    </w14:schemeClr>
                  </w14:solidFill>
                </w14:textFill>
              </w:rPr>
            </w:pPr>
          </w:p>
          <w:p>
            <w:pPr>
              <w:pStyle w:val="9"/>
              <w:widowControl w:val="0"/>
              <w:jc w:val="both"/>
              <w:rPr>
                <w:rFonts w:hint="default" w:ascii="Arial" w:hAnsi="Arial" w:cs="Arial"/>
                <w:b w:val="0"/>
                <w:bCs w:val="0"/>
                <w:color w:val="262626" w:themeColor="text1" w:themeTint="D9"/>
                <w:sz w:val="18"/>
                <w:szCs w:val="18"/>
                <w:u w:val="none"/>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u w:val="none"/>
                <w:lang w:val="en"/>
                <w14:textFill>
                  <w14:solidFill>
                    <w14:schemeClr w14:val="tx1">
                      <w14:lumMod w14:val="85000"/>
                      <w14:lumOff w14:val="15000"/>
                    </w14:schemeClr>
                  </w14:solidFill>
                </w14:textFill>
              </w:rPr>
              <w:t>AT vlada 29.4. napovedala Konjunkturni paket s cilji: davčne olajšave zaposlenim, olajšave podjetjem, še posebej za zaposlovanje, ter investicije v varstvo okolja, digitalizacijo in regionalizacijo.</w:t>
            </w:r>
          </w:p>
        </w:tc>
      </w:tr>
    </w:tbl>
    <w:p/>
    <w:tbl>
      <w:tblPr>
        <w:tblStyle w:val="8"/>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779"/>
        <w:gridCol w:w="4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642" w:type="dxa"/>
            <w:vAlign w:val="center"/>
          </w:tcPr>
          <w:p>
            <w:pPr>
              <w:widowControl w:val="0"/>
              <w:spacing w:line="240" w:lineRule="auto"/>
              <w:jc w:val="center"/>
              <w:rPr>
                <w:rFonts w:ascii="Arial" w:hAnsi="Arial" w:cs="Arial"/>
                <w:b/>
                <w:bCs/>
                <w:color w:val="262626" w:themeColor="text1" w:themeTint="D9"/>
                <w:sz w:val="18"/>
                <w:szCs w:val="18"/>
                <w:lang w:val="sl"/>
                <w14:textFill>
                  <w14:solidFill>
                    <w14:schemeClr w14:val="tx1">
                      <w14:lumMod w14:val="85000"/>
                      <w14:lumOff w14:val="15000"/>
                    </w14:schemeClr>
                  </w14:solidFill>
                </w14:textFill>
              </w:rPr>
            </w:pPr>
          </w:p>
        </w:tc>
        <w:tc>
          <w:tcPr>
            <w:tcW w:w="4779"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Zajezitveni in zdravstveni ukrepi</w:t>
            </w:r>
          </w:p>
        </w:tc>
        <w:tc>
          <w:tcPr>
            <w:tcW w:w="4966"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Priprava na sproščanje ukrepov in gospodarski ukrepi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642" w:type="dxa"/>
            <w:vAlign w:val="center"/>
          </w:tcPr>
          <w:p>
            <w:pPr>
              <w:widowControl w:val="0"/>
              <w:spacing w:line="240" w:lineRule="auto"/>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HU</w:t>
            </w:r>
          </w:p>
        </w:tc>
        <w:tc>
          <w:tcPr>
            <w:tcW w:w="4779" w:type="dxa"/>
          </w:tcPr>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tc>
        <w:tc>
          <w:tcPr>
            <w:tcW w:w="4966" w:type="dxa"/>
          </w:tcPr>
          <w:p>
            <w:pPr>
              <w:pStyle w:val="9"/>
              <w:widowControl w:val="0"/>
              <w:jc w:val="both"/>
              <w:rPr>
                <w:rFonts w:hint="default" w:ascii="Arial" w:hAnsi="Arial" w:cs="Arial"/>
                <w:b w:val="0"/>
                <w:bCs w:val="0"/>
                <w:color w:val="262626" w:themeColor="text1" w:themeTint="D9"/>
                <w:sz w:val="18"/>
                <w:szCs w:val="18"/>
                <w:u w:val="none"/>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u w:val="none"/>
                <w:lang w:val="en"/>
                <w14:textFill>
                  <w14:solidFill>
                    <w14:schemeClr w14:val="tx1">
                      <w14:lumMod w14:val="85000"/>
                      <w14:lumOff w14:val="15000"/>
                    </w14:schemeClr>
                  </w14:solidFill>
                </w14:textFill>
              </w:rPr>
              <w:t xml:space="preserve">Po poročanju HU medijev 29. aprila bi lahko nošenje zaščitnih mask v HU od naslednjega tedna dalje postalo obvezno v vseh sferah javnega življenja. Pričakovati je odpiranje manjših trgovin, ki so bile zaprte več tednov, časovni termin obiskovanja trgovin starejših od 65 let bi se prav tako utegnil spremeniti. Ob tem naj bi ohranili pravilo fizične razdalje med ljudmi, tj. 1,5 m (v glavnem mestu je trenutno zaslediti tudi priporočila glede 2 m razdalje). </w:t>
            </w:r>
          </w:p>
          <w:p>
            <w:pPr>
              <w:pStyle w:val="9"/>
              <w:widowControl w:val="0"/>
              <w:jc w:val="both"/>
              <w:rPr>
                <w:rFonts w:hint="default" w:ascii="Arial" w:hAnsi="Arial" w:cs="Arial"/>
                <w:b w:val="0"/>
                <w:bCs w:val="0"/>
                <w:color w:val="262626" w:themeColor="text1" w:themeTint="D9"/>
                <w:sz w:val="18"/>
                <w:szCs w:val="18"/>
                <w:u w:val="none"/>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u w:val="none"/>
                <w:lang w:val="en"/>
                <w14:textFill>
                  <w14:solidFill>
                    <w14:schemeClr w14:val="tx1">
                      <w14:lumMod w14:val="85000"/>
                      <w14:lumOff w14:val="15000"/>
                    </w14:schemeClr>
                  </w14:solidFill>
                </w14:textFill>
              </w:rPr>
              <w:t>Maja naj bi se postopoma odpirali tudi lokali, restavracije in hoteli v HU, pri čemer naj bi tudi za goste obstajala obveza nošenja zaščitnih mask ter spoštovanje potrebne razdalje med mizami. Takšen protokol zdravstvenega vedenja naj bi bil po informacijah HU medijev v veljavi vse do konca letošnjega leta.</w:t>
            </w:r>
          </w:p>
        </w:tc>
      </w:tr>
    </w:tbl>
    <w:p/>
    <w:tbl>
      <w:tblPr>
        <w:tblStyle w:val="8"/>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779"/>
        <w:gridCol w:w="4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2" w:type="dxa"/>
            <w:vAlign w:val="center"/>
          </w:tcPr>
          <w:p>
            <w:pPr>
              <w:widowControl w:val="0"/>
              <w:spacing w:line="240" w:lineRule="auto"/>
              <w:jc w:val="center"/>
              <w:rPr>
                <w:rFonts w:ascii="Arial" w:hAnsi="Arial" w:cs="Arial"/>
                <w:b/>
                <w:bCs/>
                <w:color w:val="262626" w:themeColor="text1" w:themeTint="D9"/>
                <w:sz w:val="18"/>
                <w:szCs w:val="18"/>
                <w:lang w:val="sl"/>
                <w14:textFill>
                  <w14:solidFill>
                    <w14:schemeClr w14:val="tx1">
                      <w14:lumMod w14:val="85000"/>
                      <w14:lumOff w14:val="15000"/>
                    </w14:schemeClr>
                  </w14:solidFill>
                </w14:textFill>
              </w:rPr>
            </w:pPr>
          </w:p>
        </w:tc>
        <w:tc>
          <w:tcPr>
            <w:tcW w:w="4779"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Zajezitveni in zdravstveni ukrepi</w:t>
            </w:r>
          </w:p>
        </w:tc>
        <w:tc>
          <w:tcPr>
            <w:tcW w:w="4966"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Priprava na sproščanje ukrepov in gospodarski ukrepi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8" w:hRule="atLeast"/>
        </w:trPr>
        <w:tc>
          <w:tcPr>
            <w:tcW w:w="642" w:type="dxa"/>
            <w:vAlign w:val="center"/>
          </w:tcPr>
          <w:p>
            <w:pPr>
              <w:widowControl w:val="0"/>
              <w:spacing w:line="240" w:lineRule="auto"/>
              <w:jc w:val="center"/>
              <w:rPr>
                <w:rFonts w:ascii="Arial" w:hAnsi="Arial" w:cs="Arial"/>
                <w:color w:val="262626" w:themeColor="text1" w:themeTint="D9"/>
                <w:sz w:val="18"/>
                <w:szCs w:val="18"/>
                <w:lang w:val="sl"/>
                <w14:textFill>
                  <w14:solidFill>
                    <w14:schemeClr w14:val="tx1">
                      <w14:lumMod w14:val="85000"/>
                      <w14:lumOff w14:val="15000"/>
                    </w14:schemeClr>
                  </w14:solidFill>
                </w14:textFill>
              </w:rPr>
            </w:pPr>
            <w:r>
              <w:rPr>
                <w:rFonts w:ascii="Arial" w:hAnsi="Arial" w:cs="Arial"/>
                <w:color w:val="262626" w:themeColor="text1" w:themeTint="D9"/>
                <w:sz w:val="18"/>
                <w:szCs w:val="18"/>
                <w:lang w:val="sl"/>
                <w14:textFill>
                  <w14:solidFill>
                    <w14:schemeClr w14:val="tx1">
                      <w14:lumMod w14:val="85000"/>
                      <w14:lumOff w14:val="15000"/>
                    </w14:schemeClr>
                  </w14:solidFill>
                </w14:textFill>
              </w:rPr>
              <w:t>DE</w:t>
            </w:r>
          </w:p>
        </w:tc>
        <w:tc>
          <w:tcPr>
            <w:tcW w:w="4779" w:type="dxa"/>
          </w:tcPr>
          <w:p>
            <w:pPr>
              <w:pStyle w:val="9"/>
              <w:widowControl w:val="0"/>
              <w:jc w:val="both"/>
              <w:rPr>
                <w:rFonts w:hint="default" w:ascii="Arial" w:hAnsi="Arial" w:cs="Arial"/>
                <w:color w:val="262626" w:themeColor="text1" w:themeTint="D9"/>
                <w:sz w:val="18"/>
                <w:szCs w:val="18"/>
                <w:u w:val="none"/>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u w:val="none"/>
                <w:lang w:val="en"/>
                <w14:textFill>
                  <w14:solidFill>
                    <w14:schemeClr w14:val="tx1">
                      <w14:lumMod w14:val="85000"/>
                      <w14:lumOff w14:val="15000"/>
                    </w14:schemeClr>
                  </w14:solidFill>
                </w14:textFill>
              </w:rPr>
              <w:t>29.4.: Od danes naprej velja obvezno nošenje mask v vseh nemških zveznih deželah (odločitev sprejeta na ravni zveznih dežel), in sicer tako v javnem prometu kot v trgovinah. V Severnem Porenju-Vestfaliji, Posarju, Porenju-Pfalškem in v Hamburgu je nošnja mask obvezna tudi na tržnicah (s hrani, živili, ipd.), v Mecklenburg-Vorpommern pa tudi v zdravniških ordinacijah in v knjižnicah.</w:t>
            </w:r>
          </w:p>
          <w:p>
            <w:pPr>
              <w:pStyle w:val="9"/>
              <w:widowControl w:val="0"/>
              <w:jc w:val="both"/>
              <w:rPr>
                <w:rFonts w:hint="default" w:ascii="Arial" w:hAnsi="Arial" w:cs="Arial"/>
                <w:color w:val="262626" w:themeColor="text1" w:themeTint="D9"/>
                <w:sz w:val="18"/>
                <w:szCs w:val="18"/>
                <w:u w:val="none"/>
                <w:lang w:val="en"/>
                <w14:textFill>
                  <w14:solidFill>
                    <w14:schemeClr w14:val="tx1">
                      <w14:lumMod w14:val="85000"/>
                      <w14:lumOff w14:val="15000"/>
                    </w14:schemeClr>
                  </w14:solidFill>
                </w14:textFill>
              </w:rPr>
            </w:pPr>
          </w:p>
          <w:p>
            <w:pPr>
              <w:pStyle w:val="9"/>
              <w:widowControl w:val="0"/>
              <w:jc w:val="both"/>
              <w:rPr>
                <w:rFonts w:hint="default" w:ascii="Arial" w:hAnsi="Arial" w:cs="Arial"/>
                <w:color w:val="262626" w:themeColor="text1" w:themeTint="D9"/>
                <w:sz w:val="18"/>
                <w:szCs w:val="18"/>
                <w:u w:val="none"/>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u w:val="none"/>
                <w:lang w:val="en"/>
                <w14:textFill>
                  <w14:solidFill>
                    <w14:schemeClr w14:val="tx1">
                      <w14:lumMod w14:val="85000"/>
                      <w14:lumOff w14:val="15000"/>
                    </w14:schemeClr>
                  </w14:solidFill>
                </w14:textFill>
              </w:rPr>
              <w:t>Nemška zvezna vlada je sprejela odločitev o nadaljnjemu povečanju števila testov za koronavirus, s čimer si želi še hitreje identificirati in prekiniti infekcijske verige. Opravljeni testi naj bi bili plačani s strani zdravstvene zavarovalnice. Ob tem se bo dostopnost testiranja razširila na čim večjo populacijo (torej, da bi se evtl. lahko šli testirat tudi tisti brez simptomov oz. kontaktov z obolelimi), še posebej bodo razširili testiranja v domovih za ostarele. Da bi zdravstveni zavodi/ustanove dobili boljši vpogled v dinamiko širjenja koronavirusa v Nemčiji, morajo ob tem laboratoriji in zdravniki zdravstvenim zavodom/ustanovam po novem posredovati ne le podatke o okuženih oz. oseb, pri katerih obstaja sum okužbe, temveč tudi podatke o negativnih testih ter o ozdravelih. Poleg tega bo nemška zvezna vlada dodatno okrepila javno zdravstveno službo. Financirala bo namreč šolanje za mobilne zdravstvene ekipe, ki bodo pomagale zdravstvenim delavcem na terenu pri sledenju oz. identifikaciji kontaktnih oseb okuženih.</w:t>
            </w:r>
          </w:p>
          <w:p>
            <w:pPr>
              <w:pStyle w:val="9"/>
              <w:widowControl w:val="0"/>
              <w:jc w:val="both"/>
              <w:rPr>
                <w:rFonts w:hint="default" w:ascii="Arial" w:hAnsi="Arial" w:cs="Arial"/>
                <w:color w:val="262626" w:themeColor="text1" w:themeTint="D9"/>
                <w:sz w:val="18"/>
                <w:szCs w:val="18"/>
                <w:u w:val="none"/>
                <w:lang w:val="en"/>
                <w14:textFill>
                  <w14:solidFill>
                    <w14:schemeClr w14:val="tx1">
                      <w14:lumMod w14:val="85000"/>
                      <w14:lumOff w14:val="15000"/>
                    </w14:schemeClr>
                  </w14:solidFill>
                </w14:textFill>
              </w:rPr>
            </w:pPr>
          </w:p>
          <w:p>
            <w:pPr>
              <w:pStyle w:val="9"/>
              <w:widowControl w:val="0"/>
              <w:jc w:val="both"/>
              <w:rPr>
                <w:rFonts w:hint="default" w:ascii="Arial" w:hAnsi="Arial" w:cs="Arial"/>
                <w:color w:val="262626" w:themeColor="text1" w:themeTint="D9"/>
                <w:sz w:val="18"/>
                <w:szCs w:val="18"/>
                <w:u w:val="none"/>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u w:val="none"/>
                <w:lang w:val="en"/>
                <w14:textFill>
                  <w14:solidFill>
                    <w14:schemeClr w14:val="tx1">
                      <w14:lumMod w14:val="85000"/>
                      <w14:lumOff w14:val="15000"/>
                    </w14:schemeClr>
                  </w14:solidFill>
                </w14:textFill>
              </w:rPr>
              <w:t xml:space="preserve">Zvezni kabinet je na predlog nemškega zunanjega ministrstva sprejel odločitev o podaljšanju vsesplošnega opozorila o nenujnih, turističnih potovanjih v tujino, in sicer vsaj do 14.6.2020. Glede morebitnih omejitev potovanj v času poletnih počitnic (te se na severu države začnejo 22. junija) se bo odločalo šele junija. </w:t>
            </w:r>
          </w:p>
        </w:tc>
        <w:tc>
          <w:tcPr>
            <w:tcW w:w="4966" w:type="dxa"/>
          </w:tcPr>
          <w:p>
            <w:pPr>
              <w:pStyle w:val="9"/>
              <w:widowControl w:val="0"/>
              <w:numPr>
                <w:ilvl w:val="0"/>
                <w:numId w:val="0"/>
              </w:numPr>
              <w:spacing w:after="0" w:line="240" w:lineRule="auto"/>
              <w:jc w:val="both"/>
              <w:rPr>
                <w:rFonts w:hint="default" w:ascii="Arial" w:hAnsi="Arial" w:cs="Arial"/>
                <w:color w:val="262626" w:themeColor="text1" w:themeTint="D9"/>
                <w:sz w:val="18"/>
                <w:szCs w:val="18"/>
                <w:u w:val="none"/>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u w:val="single"/>
                <w:lang w:val="en"/>
                <w14:textFill>
                  <w14:solidFill>
                    <w14:schemeClr w14:val="tx1">
                      <w14:lumMod w14:val="85000"/>
                      <w14:lumOff w14:val="15000"/>
                    </w14:schemeClr>
                  </w14:solidFill>
                </w14:textFill>
              </w:rPr>
              <w:t>Bavarska</w:t>
            </w:r>
            <w:r>
              <w:rPr>
                <w:rFonts w:hint="default" w:ascii="Arial" w:hAnsi="Arial" w:cs="Arial"/>
                <w:color w:val="262626" w:themeColor="text1" w:themeTint="D9"/>
                <w:sz w:val="18"/>
                <w:szCs w:val="18"/>
                <w:u w:val="none"/>
                <w:lang w:val="en"/>
                <w14:textFill>
                  <w14:solidFill>
                    <w14:schemeClr w14:val="tx1">
                      <w14:lumMod w14:val="85000"/>
                      <w14:lumOff w14:val="15000"/>
                    </w14:schemeClr>
                  </w14:solidFill>
                </w14:textFill>
              </w:rPr>
              <w:t>:</w:t>
            </w:r>
          </w:p>
          <w:p>
            <w:pPr>
              <w:pStyle w:val="9"/>
              <w:widowControl w:val="0"/>
              <w:numPr>
                <w:ilvl w:val="0"/>
                <w:numId w:val="0"/>
              </w:numPr>
              <w:spacing w:after="0" w:line="240" w:lineRule="auto"/>
              <w:jc w:val="both"/>
              <w:rPr>
                <w:rFonts w:hint="default" w:ascii="Arial" w:hAnsi="Arial" w:cs="Arial"/>
                <w:color w:val="262626" w:themeColor="text1" w:themeTint="D9"/>
                <w:sz w:val="18"/>
                <w:szCs w:val="18"/>
                <w:u w:val="none"/>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u w:val="none"/>
                <w:lang w:val="en"/>
                <w14:textFill>
                  <w14:solidFill>
                    <w14:schemeClr w14:val="tx1">
                      <w14:lumMod w14:val="85000"/>
                      <w14:lumOff w14:val="15000"/>
                    </w14:schemeClr>
                  </w14:solidFill>
                </w14:textFill>
              </w:rPr>
              <w:t>DM za notranje zadeve pred 1. majem svari, da kljub tradiciji na predvečer praznika ta ne predstavlja utemeljenega razloga za izhod in druženje, ker je aktualno v ospredju omejevanje širjenja okužbe, zato je najavil poostreno prisotnost in kontrolo policije. Trenutno je na Bavarskem zaprtih sedem oseb zaradi ponavljajočih se kršitev proti omejitvenim ukrepom.</w:t>
            </w:r>
          </w:p>
          <w:p>
            <w:pPr>
              <w:pStyle w:val="9"/>
              <w:widowControl w:val="0"/>
              <w:numPr>
                <w:ilvl w:val="0"/>
                <w:numId w:val="0"/>
              </w:numPr>
              <w:spacing w:after="0" w:line="240" w:lineRule="auto"/>
              <w:jc w:val="both"/>
              <w:rPr>
                <w:rFonts w:hint="default" w:ascii="Arial" w:hAnsi="Arial" w:cs="Arial"/>
                <w:color w:val="262626" w:themeColor="text1" w:themeTint="D9"/>
                <w:sz w:val="18"/>
                <w:szCs w:val="18"/>
                <w:u w:val="none"/>
                <w:lang w:val="en"/>
                <w14:textFill>
                  <w14:solidFill>
                    <w14:schemeClr w14:val="tx1">
                      <w14:lumMod w14:val="85000"/>
                      <w14:lumOff w14:val="15000"/>
                    </w14:schemeClr>
                  </w14:solidFill>
                </w14:textFill>
              </w:rPr>
            </w:pPr>
          </w:p>
          <w:p>
            <w:pPr>
              <w:pStyle w:val="9"/>
              <w:widowControl w:val="0"/>
              <w:numPr>
                <w:ilvl w:val="0"/>
                <w:numId w:val="0"/>
              </w:numPr>
              <w:spacing w:after="0" w:line="240" w:lineRule="auto"/>
              <w:jc w:val="both"/>
              <w:rPr>
                <w:rFonts w:hint="default" w:ascii="Arial" w:hAnsi="Arial" w:cs="Arial"/>
                <w:color w:val="262626" w:themeColor="text1" w:themeTint="D9"/>
                <w:sz w:val="18"/>
                <w:szCs w:val="18"/>
                <w:u w:val="none"/>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u w:val="none"/>
                <w:lang w:val="en"/>
                <w14:textFill>
                  <w14:solidFill>
                    <w14:schemeClr w14:val="tx1">
                      <w14:lumMod w14:val="85000"/>
                      <w14:lumOff w14:val="15000"/>
                    </w14:schemeClr>
                  </w14:solidFill>
                </w14:textFill>
              </w:rPr>
              <w:t>Bavarski cerkvi sta po včerajšnjem sklepu vlade o sprostitvi bogoslužij po 4. 5. 2020 pripravili varnostni koncept za bogoslužja, ki izhaja iz vladnega sklepa in ga konkretizira. Na podlagi njega bodo cerkve ponovno odprle svoja vrata 4. 5. 2020.</w:t>
            </w:r>
          </w:p>
          <w:p>
            <w:pPr>
              <w:pStyle w:val="9"/>
              <w:widowControl w:val="0"/>
              <w:numPr>
                <w:ilvl w:val="0"/>
                <w:numId w:val="0"/>
              </w:numPr>
              <w:spacing w:after="0" w:line="240" w:lineRule="auto"/>
              <w:jc w:val="both"/>
              <w:rPr>
                <w:rFonts w:hint="default" w:ascii="Arial" w:hAnsi="Arial" w:cs="Arial"/>
                <w:color w:val="262626" w:themeColor="text1" w:themeTint="D9"/>
                <w:sz w:val="18"/>
                <w:szCs w:val="18"/>
                <w:u w:val="none"/>
                <w:lang w:val="en"/>
                <w14:textFill>
                  <w14:solidFill>
                    <w14:schemeClr w14:val="tx1">
                      <w14:lumMod w14:val="85000"/>
                      <w14:lumOff w14:val="15000"/>
                    </w14:schemeClr>
                  </w14:solidFill>
                </w14:textFill>
              </w:rPr>
            </w:pPr>
          </w:p>
          <w:p>
            <w:pPr>
              <w:pStyle w:val="9"/>
              <w:widowControl w:val="0"/>
              <w:numPr>
                <w:ilvl w:val="0"/>
                <w:numId w:val="0"/>
              </w:numPr>
              <w:spacing w:after="0" w:line="240" w:lineRule="auto"/>
              <w:jc w:val="both"/>
              <w:rPr>
                <w:rFonts w:hint="default" w:ascii="Arial" w:hAnsi="Arial" w:cs="Arial"/>
                <w:color w:val="262626" w:themeColor="text1" w:themeTint="D9"/>
                <w:sz w:val="18"/>
                <w:szCs w:val="18"/>
                <w:u w:val="none"/>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u w:val="single"/>
                <w:lang w:val="en"/>
                <w14:textFill>
                  <w14:solidFill>
                    <w14:schemeClr w14:val="tx1">
                      <w14:lumMod w14:val="85000"/>
                      <w14:lumOff w14:val="15000"/>
                    </w14:schemeClr>
                  </w14:solidFill>
                </w14:textFill>
              </w:rPr>
              <w:t>Baden-Württemberg</w:t>
            </w:r>
            <w:r>
              <w:rPr>
                <w:rFonts w:hint="default" w:ascii="Arial" w:hAnsi="Arial" w:cs="Arial"/>
                <w:color w:val="262626" w:themeColor="text1" w:themeTint="D9"/>
                <w:sz w:val="18"/>
                <w:szCs w:val="18"/>
                <w:u w:val="none"/>
                <w:lang w:val="en"/>
                <w14:textFill>
                  <w14:solidFill>
                    <w14:schemeClr w14:val="tx1">
                      <w14:lumMod w14:val="85000"/>
                      <w14:lumOff w14:val="15000"/>
                    </w14:schemeClr>
                  </w14:solidFill>
                </w14:textFill>
              </w:rPr>
              <w:t>:</w:t>
            </w:r>
          </w:p>
          <w:p>
            <w:pPr>
              <w:pStyle w:val="9"/>
              <w:widowControl w:val="0"/>
              <w:numPr>
                <w:ilvl w:val="0"/>
                <w:numId w:val="0"/>
              </w:numPr>
              <w:spacing w:after="0" w:line="240" w:lineRule="auto"/>
              <w:jc w:val="both"/>
              <w:rPr>
                <w:rFonts w:hint="default" w:ascii="Arial" w:hAnsi="Arial" w:cs="Arial"/>
                <w:color w:val="262626" w:themeColor="text1" w:themeTint="D9"/>
                <w:sz w:val="18"/>
                <w:szCs w:val="18"/>
                <w:u w:val="none"/>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u w:val="none"/>
                <w:lang w:val="en"/>
                <w14:textFill>
                  <w14:solidFill>
                    <w14:schemeClr w14:val="tx1">
                      <w14:lumMod w14:val="85000"/>
                      <w14:lumOff w14:val="15000"/>
                    </w14:schemeClr>
                  </w14:solidFill>
                </w14:textFill>
              </w:rPr>
              <w:t>29. 4. 2020 DM za gospodarstvo in DM za socialo sta izdali direktivo, ki natančno določa higienske in varnostne ukrepe , ki jih je potrebno vzdrževati po odprtju frizerskih salonov s 4. 5. 2020 (termin, prisotnost strank, maske, dezinfekcija, pavze, zadostne kapacitete za umivanje uslužbencev, plačilo).</w:t>
            </w:r>
          </w:p>
        </w:tc>
      </w:tr>
    </w:tbl>
    <w:p>
      <w:pPr>
        <w:rPr>
          <w:rFonts w:ascii="Arial" w:hAnsi="Arial" w:cs="Arial"/>
          <w:i/>
          <w:iCs/>
          <w:color w:val="262626" w:themeColor="text1" w:themeTint="D9"/>
          <w:sz w:val="18"/>
          <w:szCs w:val="18"/>
          <w:lang w:val="en"/>
          <w14:textFill>
            <w14:solidFill>
              <w14:schemeClr w14:val="tx1">
                <w14:lumMod w14:val="85000"/>
                <w14:lumOff w14:val="15000"/>
              </w14:schemeClr>
            </w14:solidFill>
          </w14:textFill>
        </w:rPr>
      </w:pPr>
    </w:p>
    <w:tbl>
      <w:tblPr>
        <w:tblStyle w:val="8"/>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779"/>
        <w:gridCol w:w="4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2" w:type="dxa"/>
            <w:vAlign w:val="center"/>
          </w:tcPr>
          <w:p>
            <w:pPr>
              <w:widowControl w:val="0"/>
              <w:spacing w:line="240" w:lineRule="auto"/>
              <w:jc w:val="center"/>
              <w:rPr>
                <w:rFonts w:ascii="Arial" w:hAnsi="Arial" w:cs="Arial"/>
                <w:b/>
                <w:bCs/>
                <w:color w:val="262626" w:themeColor="text1" w:themeTint="D9"/>
                <w:sz w:val="18"/>
                <w:szCs w:val="18"/>
                <w:lang w:val="sl"/>
                <w14:textFill>
                  <w14:solidFill>
                    <w14:schemeClr w14:val="tx1">
                      <w14:lumMod w14:val="85000"/>
                      <w14:lumOff w14:val="15000"/>
                    </w14:schemeClr>
                  </w14:solidFill>
                </w14:textFill>
              </w:rPr>
            </w:pPr>
          </w:p>
        </w:tc>
        <w:tc>
          <w:tcPr>
            <w:tcW w:w="4779"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Zajezitveni in zdravstveni ukrepi</w:t>
            </w:r>
          </w:p>
        </w:tc>
        <w:tc>
          <w:tcPr>
            <w:tcW w:w="4966"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Priprava na sproščanje ukrepov in gospodarski ukrepi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642" w:type="dxa"/>
            <w:vAlign w:val="center"/>
          </w:tcPr>
          <w:p>
            <w:pPr>
              <w:widowControl w:val="0"/>
              <w:spacing w:line="240" w:lineRule="auto"/>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CH</w:t>
            </w:r>
          </w:p>
        </w:tc>
        <w:tc>
          <w:tcPr>
            <w:tcW w:w="4779" w:type="dxa"/>
          </w:tcPr>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29.4.: Vlada je pripravila dolgoročni načrt za zajezitev epidemije. Takoj, ko se bo število novih okužb dovolj zmanjšalo, bodo morali vsi kantoni slediti verigam prenosa okužbe oz. slediti kontaktom med ljudmi. Cilj je prepoznati okužene osebe v zgodnji fazi in zagotoviti, da se lahko testirajo vsi, ki imajo simptome, ne pa le tisti, ki so že sprejeti v bolnišnico.</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Vlada je  sprejela osnovne parametre za prenos nujnih uredb, ki jih je izdala proti koronakrizi, v zvezni zakon. Junija želi začeti posvetovalni postopek in besedilo poslati parlamentu v začetku septembra. V času krize so izredne uredbe sprejeli na podlagi zakona o epidemiji, posebnih zakonov in zvezni ustavi. Začetek postopkov za prenos uredb, ki temeljijo neposredno na zvezni ustavi, je potrebno začeti v roku šestih mesecev od datuma, ko so stopile v veljavo. Vsebina novega zakona COVID-19  bo v veliki meri odvisna od nadaljnjega epidemiološkega razvoja in ustreznih odločitev vlade v prihodnjih tednih in mesecih. </w:t>
            </w:r>
          </w:p>
        </w:tc>
        <w:tc>
          <w:tcPr>
            <w:tcW w:w="4966" w:type="dxa"/>
          </w:tcPr>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29. 4.</w:t>
            </w: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 xml:space="preserve">Vlada je odločala o rahljanju ukrepov za vstop v državo: </w:t>
            </w: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 xml:space="preserve">-Kantoni bodo prednostno obravnavali vse prošnje za dovoljenje za prebivanje ali čezmejno delo za delavce iz države EU ali države EFTE, ki so bile vložene pred uvedbo omejitev vstopa (25. marca 2020) v Švico. Enako velja za kratkoročno delo pri delodajalcu v Švici in čezmejne storitve do 90 dni. </w:t>
            </w: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-Nove registracije oz. najave delavcev za delo v Švici bodo obravnavane, če je bila pogodba o storitvah sklenjena pred 25. marcem 2020. Na primer, tehnik iz Nemčije lahko montira stroj, ki je že bil naročen v švicarskem podjetju.</w:t>
            </w: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 Zaposleni iz tretjih držav, ki že imajo dovoljenje za delo v Švici, vendar zaradi veljavnih ukrepov niso mogli več dobiti vizuma, bodo lahko vstopili v državo.</w:t>
            </w: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 xml:space="preserve">- Vloge za zaposlitev delavcev iz tretjih držav, ki so bile vložene pred začetkom veljavnosti ukrepov o omejitvi vstopa (19. marca 2020), bodo še naprej obravnavali.  </w:t>
            </w: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 xml:space="preserve">- Za družinske člane švicarskih državljanov ter državljanov EU/EFTA, ki živijo v Švici, je ponovno možna združitev z družino. </w:t>
            </w: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 xml:space="preserve">- Nadzor meje se bo nadaljeval. Lahko bodo odprli dodatne mejne prehode. </w:t>
            </w: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 xml:space="preserve">- Letalski potniki iz tujine lahko še vedno vstopajo le na letališču v Zürichu, Ženevi in Baslu. </w:t>
            </w: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29.4.</w:t>
            </w: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 xml:space="preserve">S sproščanjem ukrepov zvezna carinska uprava (FCA) pričakuje rast blagovnega prometa. V posvetovanju s poslovno skupnostjo so optimizirali in razširili obstoječe ukrepe:  </w:t>
            </w: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 prednostni pasovi (tako imenovani zeleni pasovi) za določeno blago, ki služijo nacionalni oskrbi (na primer hrana ali medicinsko blago) bodo ohranjeni.</w:t>
            </w: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 xml:space="preserve">- poenostavitev postopkov za izvoz: prek postopkov "Libero Export" lahko  95 % postopkov rešijo elektronsko, preden pridejo tovornjaki na mejo. </w:t>
            </w: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 xml:space="preserve">- digitalizacija: FCA želi s svojim programom digitalizacije DaziT preusmeriti  carinske postopke  z mejnega prehoda na splet.  Od julija 2020 naj bi se dalo elektronsko oddati carinske deklaracije s spremljajočimi dokumenti. </w:t>
            </w: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 xml:space="preserve">Plačevanje prispevkov brez zamudnih obresti. Vlada je sklenila, da ne bodo računali zamudnih obresti za  pozna plačila prispevkov socialnih zavarovanj iz prvega stebra (pokojninsko zavarovanje, invalidno zavarovanje, zavarovanje za izgubo zaslužka, zavarovanje za primer brezposelnosti). </w:t>
            </w: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 xml:space="preserve">Letalska industrija. Vlada bo parlamentu predložila predlog za posojila za letalsko industrijo v višini 1,875 mrd CHF: 1,275 mrd CHF za zavarovanje posojil švicarskim letalskim prevoznikom in 600 mio CHF za podporo podjetjem, ki delujejo na nacionalnih letališčih. Da država lahko hitro reagirala je za vsak slučaj še dodatna posojila v višini 600 mio CHF. </w:t>
            </w: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29.4.</w:t>
            </w: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 xml:space="preserve">Vlada se je 29. aprila odločila o 2. fazi rahljanja ukrepov, ki se prične z 11. majem. </w:t>
            </w: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 odprli bodo trgovine, tržnice, muzeje in knjižnice</w:t>
            </w: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 restavracije se lahko ponovno odprejo, vendar za mizo lahko sedijo le 4 osebe ali starša z otroki</w:t>
            </w: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 šole: pouk se lahko ponovno potekal v osnovnih in srednjih šolah</w:t>
            </w: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 možni bodo športni treningi (manjše skupine do 5 ljudi, brez fizičnega kontakta)</w:t>
            </w: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 xml:space="preserve">- javni prevoz bo spet deloval po ustaljenem voznem redu </w:t>
            </w: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 kantonalne gimnazije se lahko odločijo, da ne bodo imele pisnega dela maturitetnega izpita</w:t>
            </w: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 xml:space="preserve">- vzporedno z odpiranjem gospodarstva se bodo rahljali ukrepi vstopa v državo: od 11. maja bodo prioritetno obravnavali vloge delavcev iz EU in tretjih držav, ki so vložili vloge že pred 25. marcem. Ponovno bo možna združitev družine za švicarske državljane in državljane EU. Nadzor na mejah ostaja.  </w:t>
            </w: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 do konca avgusta je prepovedano organizirati večje dogodke za več kot 1000 ljudi. O dogodkih z manj kot 1000 udeleženci bodo odločali 27. maja.</w:t>
            </w:r>
          </w:p>
        </w:tc>
      </w:tr>
    </w:tbl>
    <w:p>
      <w:pPr>
        <w:rPr>
          <w:rFonts w:ascii="Arial" w:hAnsi="Arial" w:cs="Arial"/>
          <w:i/>
          <w:iCs/>
          <w:color w:val="262626" w:themeColor="text1" w:themeTint="D9"/>
          <w:sz w:val="18"/>
          <w:szCs w:val="18"/>
          <w:lang w:val="en"/>
          <w14:textFill>
            <w14:solidFill>
              <w14:schemeClr w14:val="tx1">
                <w14:lumMod w14:val="85000"/>
                <w14:lumOff w14:val="15000"/>
              </w14:schemeClr>
            </w14:solidFill>
          </w14:textFill>
        </w:rPr>
      </w:pPr>
    </w:p>
    <w:tbl>
      <w:tblPr>
        <w:tblStyle w:val="8"/>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779"/>
        <w:gridCol w:w="4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2" w:type="dxa"/>
            <w:vAlign w:val="center"/>
          </w:tcPr>
          <w:p>
            <w:pPr>
              <w:widowControl w:val="0"/>
              <w:spacing w:line="240" w:lineRule="auto"/>
              <w:jc w:val="center"/>
              <w:rPr>
                <w:rFonts w:ascii="Arial" w:hAnsi="Arial" w:cs="Arial"/>
                <w:b/>
                <w:bCs/>
                <w:color w:val="262626" w:themeColor="text1" w:themeTint="D9"/>
                <w:sz w:val="18"/>
                <w:szCs w:val="18"/>
                <w:lang w:val="sl"/>
                <w14:textFill>
                  <w14:solidFill>
                    <w14:schemeClr w14:val="tx1">
                      <w14:lumMod w14:val="85000"/>
                      <w14:lumOff w14:val="15000"/>
                    </w14:schemeClr>
                  </w14:solidFill>
                </w14:textFill>
              </w:rPr>
            </w:pPr>
          </w:p>
        </w:tc>
        <w:tc>
          <w:tcPr>
            <w:tcW w:w="4779"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Zajezitveni in zdravstveni ukrepi</w:t>
            </w:r>
          </w:p>
        </w:tc>
        <w:tc>
          <w:tcPr>
            <w:tcW w:w="4966"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Priprava na sproščanje ukrepov in gospodarski ukrepi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642" w:type="dxa"/>
            <w:vAlign w:val="center"/>
          </w:tcPr>
          <w:p>
            <w:pPr>
              <w:widowControl w:val="0"/>
              <w:spacing w:line="240" w:lineRule="auto"/>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BE</w:t>
            </w:r>
          </w:p>
        </w:tc>
        <w:tc>
          <w:tcPr>
            <w:tcW w:w="4779" w:type="dxa"/>
          </w:tcPr>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Na podlagi zahteve Sveta za nacionalno varnost, da mora vlada ob postopnem rahljanju uvedenih ukrepov zagotoviti vsaj eno zaščitno masko za vsakega državljana, je predsednica manjšinske zvezne vlade Sophie Wilmès prejšnji petek zagotovila, da bodo vsi državljani Belgije prejeli vsaj eno standardno zaščitno masko in dva filtra. </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Dinamika načrtovane preskrbe pa že jasno kaže, da do 4. maja, ko se začenja prva faza izhodne strategije, ki jo zaznamuje tudi obvezna uporaba zaščitnih mask v vseh sredstvih javnega prevoza za vse prebivalce, ki so starejši od 12 let, obljube ne bo mogoče izpolniti.</w:t>
            </w:r>
          </w:p>
        </w:tc>
        <w:tc>
          <w:tcPr>
            <w:tcW w:w="4966" w:type="dxa"/>
          </w:tcPr>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 xml:space="preserve">Zaposleni v ključnih sektorjih za delovanje države v času epidemije bodo po besedah finančnega ministra Alexandra De Crooja, ministrice za zdravstvo Maggie De Block in ministrice za delo Nathalie Muylle za opravljeno delo v obdobju od začetka aprila  do konca junija prejeli neto izplačilo največ 120 nadur. </w:t>
            </w: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Dovoljenje za izplačilo navedenega dodatka povečuje siceršnjo obstoječo zakonsko možnost opravljanja nadur za 120%.</w:t>
            </w: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Prednostno bo namenjeno zagotavljanju zadostne delovne sile v kmetijstvu, sadjarstvu in vrtnarstvu, ki ga je pomanjkanje sezonske delovne sile močno prizadelo.</w:t>
            </w:r>
          </w:p>
        </w:tc>
      </w:tr>
    </w:tbl>
    <w:p>
      <w:pPr>
        <w:rPr>
          <w:rFonts w:ascii="Arial" w:hAnsi="Arial" w:cs="Arial"/>
          <w:i/>
          <w:iCs/>
          <w:color w:val="262626" w:themeColor="text1" w:themeTint="D9"/>
          <w:sz w:val="18"/>
          <w:szCs w:val="18"/>
          <w:lang w:val="en"/>
          <w14:textFill>
            <w14:solidFill>
              <w14:schemeClr w14:val="tx1">
                <w14:lumMod w14:val="85000"/>
                <w14:lumOff w14:val="15000"/>
              </w14:schemeClr>
            </w14:solidFill>
          </w14:textFill>
        </w:rPr>
      </w:pPr>
    </w:p>
    <w:tbl>
      <w:tblPr>
        <w:tblStyle w:val="8"/>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779"/>
        <w:gridCol w:w="4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2" w:type="dxa"/>
            <w:vAlign w:val="center"/>
          </w:tcPr>
          <w:p>
            <w:pPr>
              <w:widowControl w:val="0"/>
              <w:spacing w:line="240" w:lineRule="auto"/>
              <w:jc w:val="center"/>
              <w:rPr>
                <w:rFonts w:ascii="Arial" w:hAnsi="Arial" w:cs="Arial"/>
                <w:b/>
                <w:bCs/>
                <w:color w:val="262626" w:themeColor="text1" w:themeTint="D9"/>
                <w:sz w:val="18"/>
                <w:szCs w:val="18"/>
                <w:lang w:val="sl"/>
                <w14:textFill>
                  <w14:solidFill>
                    <w14:schemeClr w14:val="tx1">
                      <w14:lumMod w14:val="85000"/>
                      <w14:lumOff w14:val="15000"/>
                    </w14:schemeClr>
                  </w14:solidFill>
                </w14:textFill>
              </w:rPr>
            </w:pPr>
          </w:p>
        </w:tc>
        <w:tc>
          <w:tcPr>
            <w:tcW w:w="4779"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Zajezitveni in zdravstveni ukrepi</w:t>
            </w:r>
          </w:p>
        </w:tc>
        <w:tc>
          <w:tcPr>
            <w:tcW w:w="4966"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Priprava na sproščanje ukrepov in gospodarski ukrepi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642" w:type="dxa"/>
            <w:vAlign w:val="center"/>
          </w:tcPr>
          <w:p>
            <w:pPr>
              <w:widowControl w:val="0"/>
              <w:spacing w:line="240" w:lineRule="auto"/>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LU</w:t>
            </w:r>
          </w:p>
        </w:tc>
        <w:tc>
          <w:tcPr>
            <w:tcW w:w="4779" w:type="dxa"/>
          </w:tcPr>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Luksemburški minister za izobraževanje Claude Meisch je sporočil, da bo Luksemburg iz postavk Ministrstva za visoko šolstvo in raziskave namenil 40 milijonov evrov za testiranje celotnega prebivalstva na okužbo s COVID-19. Testiranja se bodo začela 19. maja, na dan pa bo predvidoma opravljenih 20.000 testov.</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Zasebni laboratorij BioneXt Lab v luksemburškem kraju Leudelange bo od partnerskega nemškega podjetja prejel testne komplete za ugotavljanje potencialne imunosti nekdanjih bolnikov COVID-19 na ponovno okužbo.</w:t>
            </w:r>
          </w:p>
        </w:tc>
        <w:tc>
          <w:tcPr>
            <w:tcW w:w="4966" w:type="dxa"/>
          </w:tcPr>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p>
        </w:tc>
      </w:tr>
    </w:tbl>
    <w:p>
      <w:pPr>
        <w:rPr>
          <w:rFonts w:ascii="Arial" w:hAnsi="Arial" w:cs="Arial"/>
          <w:i/>
          <w:iCs/>
          <w:color w:val="262626" w:themeColor="text1" w:themeTint="D9"/>
          <w:sz w:val="18"/>
          <w:szCs w:val="18"/>
          <w:lang w:val="en"/>
          <w14:textFill>
            <w14:solidFill>
              <w14:schemeClr w14:val="tx1">
                <w14:lumMod w14:val="85000"/>
                <w14:lumOff w14:val="15000"/>
              </w14:schemeClr>
            </w14:solidFill>
          </w14:textFill>
        </w:rPr>
      </w:pPr>
    </w:p>
    <w:tbl>
      <w:tblPr>
        <w:tblStyle w:val="8"/>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779"/>
        <w:gridCol w:w="4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2" w:type="dxa"/>
            <w:vAlign w:val="center"/>
          </w:tcPr>
          <w:p>
            <w:pPr>
              <w:widowControl w:val="0"/>
              <w:spacing w:line="240" w:lineRule="auto"/>
              <w:jc w:val="center"/>
              <w:rPr>
                <w:rFonts w:ascii="Arial" w:hAnsi="Arial" w:cs="Arial"/>
                <w:b/>
                <w:bCs/>
                <w:color w:val="262626" w:themeColor="text1" w:themeTint="D9"/>
                <w:sz w:val="18"/>
                <w:szCs w:val="18"/>
                <w:lang w:val="sl"/>
                <w14:textFill>
                  <w14:solidFill>
                    <w14:schemeClr w14:val="tx1">
                      <w14:lumMod w14:val="85000"/>
                      <w14:lumOff w14:val="15000"/>
                    </w14:schemeClr>
                  </w14:solidFill>
                </w14:textFill>
              </w:rPr>
            </w:pPr>
          </w:p>
        </w:tc>
        <w:tc>
          <w:tcPr>
            <w:tcW w:w="4779"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Zajezitveni in zdravstveni ukrepi</w:t>
            </w:r>
          </w:p>
        </w:tc>
        <w:tc>
          <w:tcPr>
            <w:tcW w:w="4966"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Priprava na sproščanje ukrepov in gospodarski ukrepi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642" w:type="dxa"/>
            <w:vAlign w:val="center"/>
          </w:tcPr>
          <w:p>
            <w:pPr>
              <w:widowControl w:val="0"/>
              <w:spacing w:line="240" w:lineRule="auto"/>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NL</w:t>
            </w:r>
          </w:p>
        </w:tc>
        <w:tc>
          <w:tcPr>
            <w:tcW w:w="4779" w:type="dxa"/>
          </w:tcPr>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Na podlagi skupne ocene pristojnih institucij bo v naslednjih 3 letih, če ne bo cepiva, za korona paciente (ocena 37.500) potrebno zagotoviti stalno kapaciteto dodatnih 639 postelj v intenzivnih enotah (ob predpostavki 60% okuženosti prebivalstva, od katerih jih 0,45% pristane v ICU)</w:t>
            </w:r>
          </w:p>
        </w:tc>
        <w:tc>
          <w:tcPr>
            <w:tcW w:w="4966" w:type="dxa"/>
          </w:tcPr>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Lansirana shema 200 mio EUR pomoči za premostitvene kredite za start-upe in inovativna MSP s strani vlade in investicijske agencije Invest-NL.</w:t>
            </w: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Poteka raziskava na vzorcu 5000 državljanov za pridobitev javnega mnenja glede potrebne nadaljnje veljavnosti ukrepov. Rezultati bodo pripravljeni do 7.5., vlada naj bi jih upoštevala pri odločanju o možnem sproščanju ukrepov.</w:t>
            </w:r>
          </w:p>
        </w:tc>
      </w:tr>
    </w:tbl>
    <w:p>
      <w:pPr>
        <w:rPr>
          <w:rFonts w:ascii="Arial" w:hAnsi="Arial" w:cs="Arial"/>
          <w:i/>
          <w:iCs/>
          <w:color w:val="262626" w:themeColor="text1" w:themeTint="D9"/>
          <w:sz w:val="18"/>
          <w:szCs w:val="18"/>
          <w:lang w:val="en"/>
          <w14:textFill>
            <w14:solidFill>
              <w14:schemeClr w14:val="tx1">
                <w14:lumMod w14:val="85000"/>
                <w14:lumOff w14:val="15000"/>
              </w14:schemeClr>
            </w14:solidFill>
          </w14:textFill>
        </w:rPr>
      </w:pPr>
    </w:p>
    <w:tbl>
      <w:tblPr>
        <w:tblStyle w:val="8"/>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779"/>
        <w:gridCol w:w="4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2" w:type="dxa"/>
            <w:vAlign w:val="center"/>
          </w:tcPr>
          <w:p>
            <w:pPr>
              <w:widowControl w:val="0"/>
              <w:spacing w:line="240" w:lineRule="auto"/>
              <w:jc w:val="center"/>
              <w:rPr>
                <w:rFonts w:ascii="Arial" w:hAnsi="Arial" w:cs="Arial"/>
                <w:b/>
                <w:bCs/>
                <w:color w:val="262626" w:themeColor="text1" w:themeTint="D9"/>
                <w:sz w:val="18"/>
                <w:szCs w:val="18"/>
                <w:lang w:val="sl"/>
                <w14:textFill>
                  <w14:solidFill>
                    <w14:schemeClr w14:val="tx1">
                      <w14:lumMod w14:val="85000"/>
                      <w14:lumOff w14:val="15000"/>
                    </w14:schemeClr>
                  </w14:solidFill>
                </w14:textFill>
              </w:rPr>
            </w:pPr>
          </w:p>
        </w:tc>
        <w:tc>
          <w:tcPr>
            <w:tcW w:w="4779"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Zajezitveni in zdravstveni ukrepi</w:t>
            </w:r>
          </w:p>
        </w:tc>
        <w:tc>
          <w:tcPr>
            <w:tcW w:w="4966"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Priprava na sproščanje ukrepov in gospodarski ukrepi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642" w:type="dxa"/>
            <w:vAlign w:val="center"/>
          </w:tcPr>
          <w:p>
            <w:pPr>
              <w:widowControl w:val="0"/>
              <w:spacing w:line="240" w:lineRule="auto"/>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SE</w:t>
            </w:r>
          </w:p>
        </w:tc>
        <w:tc>
          <w:tcPr>
            <w:tcW w:w="4779" w:type="dxa"/>
          </w:tcPr>
          <w:p>
            <w:pPr>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29.4.: Agencija za javno zdravje je izdala priporočilo za previdnost in pazljivost nosečnicam ob koncu nosečnosti in pred porodom, še posebno če imajo težave z visokim krvnim tlakom ali sladkorjem. Nosečnice sicer niso v ranljivi skupini, vendar je Švedska zabeležila nekaj primerov, ko so obolele za COVID19 morale iti v intenzivno nego.</w:t>
            </w:r>
          </w:p>
        </w:tc>
        <w:tc>
          <w:tcPr>
            <w:tcW w:w="4966" w:type="dxa"/>
          </w:tcPr>
          <w:p>
            <w:pPr>
              <w:pStyle w:val="9"/>
              <w:widowControl w:val="0"/>
              <w:jc w:val="both"/>
              <w:rPr>
                <w:rFonts w:hint="default" w:ascii="Arial" w:hAnsi="Arial" w:cs="Arial"/>
                <w:b/>
                <w:bCs/>
                <w:color w:val="262626" w:themeColor="text1" w:themeTint="D9"/>
                <w:sz w:val="18"/>
                <w:szCs w:val="18"/>
                <w:lang w:val="en"/>
                <w14:textFill>
                  <w14:solidFill>
                    <w14:schemeClr w14:val="tx1">
                      <w14:lumMod w14:val="85000"/>
                      <w14:lumOff w14:val="15000"/>
                    </w14:schemeClr>
                  </w14:solidFill>
                </w14:textFill>
              </w:rPr>
            </w:pPr>
          </w:p>
        </w:tc>
      </w:tr>
    </w:tbl>
    <w:p>
      <w:pPr>
        <w:rPr>
          <w:rFonts w:ascii="Arial" w:hAnsi="Arial" w:cs="Arial"/>
          <w:i/>
          <w:iCs/>
          <w:color w:val="262626" w:themeColor="text1" w:themeTint="D9"/>
          <w:sz w:val="18"/>
          <w:szCs w:val="18"/>
          <w:lang w:val="en"/>
          <w14:textFill>
            <w14:solidFill>
              <w14:schemeClr w14:val="tx1">
                <w14:lumMod w14:val="85000"/>
                <w14:lumOff w14:val="15000"/>
              </w14:schemeClr>
            </w14:solidFill>
          </w14:textFill>
        </w:rPr>
      </w:pPr>
    </w:p>
    <w:tbl>
      <w:tblPr>
        <w:tblStyle w:val="8"/>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779"/>
        <w:gridCol w:w="4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2" w:type="dxa"/>
            <w:vAlign w:val="center"/>
          </w:tcPr>
          <w:p>
            <w:pPr>
              <w:widowControl w:val="0"/>
              <w:spacing w:line="240" w:lineRule="auto"/>
              <w:jc w:val="center"/>
              <w:rPr>
                <w:rFonts w:ascii="Arial" w:hAnsi="Arial" w:cs="Arial"/>
                <w:b/>
                <w:bCs/>
                <w:color w:val="262626" w:themeColor="text1" w:themeTint="D9"/>
                <w:sz w:val="18"/>
                <w:szCs w:val="18"/>
                <w:lang w:val="sl"/>
                <w14:textFill>
                  <w14:solidFill>
                    <w14:schemeClr w14:val="tx1">
                      <w14:lumMod w14:val="85000"/>
                      <w14:lumOff w14:val="15000"/>
                    </w14:schemeClr>
                  </w14:solidFill>
                </w14:textFill>
              </w:rPr>
            </w:pPr>
          </w:p>
        </w:tc>
        <w:tc>
          <w:tcPr>
            <w:tcW w:w="4779"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Zajezitveni in zdravstveni ukrepi</w:t>
            </w:r>
          </w:p>
        </w:tc>
        <w:tc>
          <w:tcPr>
            <w:tcW w:w="4966"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Priprava na sproščanje ukrepov in gospodarski ukrepi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642" w:type="dxa"/>
            <w:vAlign w:val="center"/>
          </w:tcPr>
          <w:p>
            <w:pPr>
              <w:widowControl w:val="0"/>
              <w:spacing w:line="240" w:lineRule="auto"/>
              <w:jc w:val="center"/>
              <w:rPr>
                <w:rFonts w:ascii="Arial" w:hAnsi="Arial" w:cs="Arial"/>
                <w:color w:val="262626" w:themeColor="text1" w:themeTint="D9"/>
                <w:sz w:val="18"/>
                <w:szCs w:val="18"/>
                <w:lang w:val="en"/>
                <w14:textFill>
                  <w14:solidFill>
                    <w14:schemeClr w14:val="tx1">
                      <w14:lumMod w14:val="85000"/>
                      <w14:lumOff w14:val="15000"/>
                    </w14:schemeClr>
                  </w14:solidFill>
                </w14:textFill>
              </w:rPr>
            </w:pPr>
            <w:r>
              <w:rPr>
                <w:rFonts w:ascii="Arial" w:hAnsi="Arial" w:cs="Arial"/>
                <w:color w:val="262626" w:themeColor="text1" w:themeTint="D9"/>
                <w:sz w:val="18"/>
                <w:szCs w:val="18"/>
                <w:lang w:val="en"/>
                <w14:textFill>
                  <w14:solidFill>
                    <w14:schemeClr w14:val="tx1">
                      <w14:lumMod w14:val="85000"/>
                      <w14:lumOff w14:val="15000"/>
                    </w14:schemeClr>
                  </w14:solidFill>
                </w14:textFill>
              </w:rPr>
              <w:t>DK</w:t>
            </w:r>
          </w:p>
        </w:tc>
        <w:tc>
          <w:tcPr>
            <w:tcW w:w="4779" w:type="dxa"/>
          </w:tcPr>
          <w:p>
            <w:pPr>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p>
        </w:tc>
        <w:tc>
          <w:tcPr>
            <w:tcW w:w="4966" w:type="dxa"/>
          </w:tcPr>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29. 4.</w:t>
            </w: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Predsednica vlade je med razpravo v parlamentu in ob pozivih opozicijskih strank k hitrejšemu odpiranju družbe poudarila, da je ključno, da se ukrepe odpravlja premišljeno. Druga faza procesa ponovnega odpiranja se bo začela 10. maja, dolgoročna strategija pa ne bo objavljena do naslednjega tedna, pred posvetovanjem z vsemi strankami v parlamentu. Premierka je povedala, da bo javnost obveščena o časovnem okviru ponovnega odpiranja storitev, kot so restavracije, telovadnice in nakupovalni centri, vendar je poudarila, da je Danska še vedno v krizi in da zdravje ljudi ne sme biti ogroženo. Strategija odpiranja sloni na povečanem obsegu testiranj, uporabi zaščitne opreme, visoki higieni, medosebni razdalji ter omejevanju zbiranja. Parlament je zapustila predčasno zaradi bolezni v svoji družini.</w:t>
            </w: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Nacionalni odbor za zdravje je predstavil predlog telesnih aktivnosti tematsko obarvanih s COVID19 za vzgojitelje in učitelje otrok, ki so se vrnili v vrtce in šole.</w:t>
            </w: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Mesto Kopenhagen je objavilo razpis za kratkoročna delovna mesta v šolah in vrtcih, kjer se zaradi novih zahtev potrebuje več kadra in prostora. Interes za sodelovanje je izkazalo že 1.400 oseb.</w:t>
            </w: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Več županov zaradi prihajajoče turistične sezone poziva k odprtju meja.</w:t>
            </w:r>
          </w:p>
        </w:tc>
      </w:tr>
    </w:tbl>
    <w:p>
      <w:pPr>
        <w:rPr>
          <w:rFonts w:ascii="Arial" w:hAnsi="Arial" w:cs="Arial"/>
          <w:i/>
          <w:iCs/>
          <w:color w:val="262626" w:themeColor="text1" w:themeTint="D9"/>
          <w:sz w:val="18"/>
          <w:szCs w:val="18"/>
          <w:lang w:val="en"/>
          <w14:textFill>
            <w14:solidFill>
              <w14:schemeClr w14:val="tx1">
                <w14:lumMod w14:val="85000"/>
                <w14:lumOff w14:val="15000"/>
              </w14:schemeClr>
            </w14:solidFill>
          </w14:textFill>
        </w:rPr>
      </w:pPr>
    </w:p>
    <w:tbl>
      <w:tblPr>
        <w:tblStyle w:val="8"/>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779"/>
        <w:gridCol w:w="4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2" w:type="dxa"/>
            <w:vAlign w:val="center"/>
          </w:tcPr>
          <w:p>
            <w:pPr>
              <w:widowControl w:val="0"/>
              <w:spacing w:line="240" w:lineRule="auto"/>
              <w:jc w:val="center"/>
              <w:rPr>
                <w:rFonts w:ascii="Arial" w:hAnsi="Arial" w:cs="Arial"/>
                <w:b/>
                <w:bCs/>
                <w:color w:val="262626" w:themeColor="text1" w:themeTint="D9"/>
                <w:sz w:val="18"/>
                <w:szCs w:val="18"/>
                <w:lang w:val="sl"/>
                <w14:textFill>
                  <w14:solidFill>
                    <w14:schemeClr w14:val="tx1">
                      <w14:lumMod w14:val="85000"/>
                      <w14:lumOff w14:val="15000"/>
                    </w14:schemeClr>
                  </w14:solidFill>
                </w14:textFill>
              </w:rPr>
            </w:pPr>
          </w:p>
        </w:tc>
        <w:tc>
          <w:tcPr>
            <w:tcW w:w="4779"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Zajezitveni in zdravstveni ukrepi</w:t>
            </w:r>
          </w:p>
        </w:tc>
        <w:tc>
          <w:tcPr>
            <w:tcW w:w="4966"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Priprava na sproščanje ukrepov in gospodarski ukrepi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642" w:type="dxa"/>
            <w:vAlign w:val="center"/>
          </w:tcPr>
          <w:p>
            <w:pPr>
              <w:widowControl w:val="0"/>
              <w:spacing w:line="240" w:lineRule="auto"/>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FI</w:t>
            </w:r>
          </w:p>
        </w:tc>
        <w:tc>
          <w:tcPr>
            <w:tcW w:w="4779" w:type="dxa"/>
          </w:tcPr>
          <w:p>
            <w:pPr>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p>
        </w:tc>
        <w:tc>
          <w:tcPr>
            <w:tcW w:w="4966" w:type="dxa"/>
          </w:tcPr>
          <w:p>
            <w:pPr>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29.4.: Finska vlada naj bi že v nedeljo, 3. maja, razpravljala o možnosti ponovnega odpiranja meja s sosednjimi državami, zlasti trajektnega prometa za potnike med Finsko in Estonijo.</w:t>
            </w: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29. 4.: Vlada je na podlagi ocene pristojnih zdravstvenih institucij sprejela odločitev, da odpravi omejitve izvajanja predšolske vzgoje in osnovnošolskega izobraževanja (oziroma osnovnošolskega in nižjega srednješolskega izobraževanja, po finskem sistemu). Ponovno se bodo otroci in učenci k rednemu pouku vrnili 14. maja. Pristojni ministrstvi sta že pripravili smernice za ureditev izvajanja predšolske vzgoje in osnovnošolskega izobraževanja. Pouk se lahko organizira v izmenah. Ključno je, da se učenci in učitelji izognejo nepotrebnemu fizičnemu stiku in da se učni prostori uredijo tako, da bodo imeli več prostora kot običajno. Odmori in šolski obroki morajo biti urejeni le z lastnim razredom ali skupino. Po 14. maju organizator poučevanja ne bo mogel organizirati na daljavo. Občina se ne bo mogla samostojno odločiti o zaprtju šol ali izobraževanja organizirati na daljavo. O odpravi omejitev v srednjih šolah in na univerzah bo vlada razpravljala pozneje.</w:t>
            </w:r>
          </w:p>
        </w:tc>
      </w:tr>
    </w:tbl>
    <w:p>
      <w:pPr>
        <w:rPr>
          <w:rFonts w:ascii="Arial" w:hAnsi="Arial" w:cs="Arial"/>
          <w:i/>
          <w:iCs/>
          <w:color w:val="262626" w:themeColor="text1" w:themeTint="D9"/>
          <w:sz w:val="18"/>
          <w:szCs w:val="18"/>
          <w:lang w:val="en"/>
          <w14:textFill>
            <w14:solidFill>
              <w14:schemeClr w14:val="tx1">
                <w14:lumMod w14:val="85000"/>
                <w14:lumOff w14:val="15000"/>
              </w14:schemeClr>
            </w14:solidFill>
          </w14:textFill>
        </w:rPr>
      </w:pPr>
    </w:p>
    <w:tbl>
      <w:tblPr>
        <w:tblStyle w:val="8"/>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779"/>
        <w:gridCol w:w="4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2" w:type="dxa"/>
            <w:vAlign w:val="center"/>
          </w:tcPr>
          <w:p>
            <w:pPr>
              <w:widowControl w:val="0"/>
              <w:spacing w:line="240" w:lineRule="auto"/>
              <w:jc w:val="center"/>
              <w:rPr>
                <w:rFonts w:ascii="Arial" w:hAnsi="Arial" w:cs="Arial"/>
                <w:b/>
                <w:bCs/>
                <w:color w:val="262626" w:themeColor="text1" w:themeTint="D9"/>
                <w:sz w:val="18"/>
                <w:szCs w:val="18"/>
                <w:lang w:val="sl"/>
                <w14:textFill>
                  <w14:solidFill>
                    <w14:schemeClr w14:val="tx1">
                      <w14:lumMod w14:val="85000"/>
                      <w14:lumOff w14:val="15000"/>
                    </w14:schemeClr>
                  </w14:solidFill>
                </w14:textFill>
              </w:rPr>
            </w:pPr>
          </w:p>
        </w:tc>
        <w:tc>
          <w:tcPr>
            <w:tcW w:w="4779"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Zajezitveni in zdravstveni ukrepi</w:t>
            </w:r>
          </w:p>
        </w:tc>
        <w:tc>
          <w:tcPr>
            <w:tcW w:w="4966"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Priprava na sproščanje ukrepov in gospodarski ukrepi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642" w:type="dxa"/>
            <w:vAlign w:val="center"/>
          </w:tcPr>
          <w:p>
            <w:pPr>
              <w:widowControl w:val="0"/>
              <w:spacing w:line="240" w:lineRule="auto"/>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NO</w:t>
            </w:r>
          </w:p>
        </w:tc>
        <w:tc>
          <w:tcPr>
            <w:tcW w:w="4779" w:type="dxa"/>
          </w:tcPr>
          <w:p>
            <w:pPr>
              <w:widowControl w:val="0"/>
              <w:jc w:val="both"/>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29.4.: Zdravstvene ustanove širijo kriterije za testiranje na COVID-19, in sicer na vse, ki imajo blage simptome, ki bi lahko nakazovali na koronavirus, v izjemnih primerih pa tudi osebe, ki simptomov sploh nimajo, vendar pa morajo imeti vsi napotnico osebnega zdravnika. Glede na kapacitete posameznih občin se prednost pri testiranju vseeno daje bolj ogroženim skupinam. Metode testiranj se iz občine v občino razlikujejo, nekatere nudijo drive-through testiranja (z avtomobilom, kolesi in peš), nekatere testirajo le v bolnišnicah, nekatere pa s posebnimi skupinami na terenu. Upajo, da bodo kmalu lahko prešli na sistem, kjer bodo lahko prebivalci vzorce vzeli sami in jih poslali na analizo.</w:t>
            </w:r>
          </w:p>
        </w:tc>
        <w:tc>
          <w:tcPr>
            <w:tcW w:w="4966" w:type="dxa"/>
          </w:tcPr>
          <w:p>
            <w:pPr>
              <w:pStyle w:val="9"/>
              <w:widowControl w:val="0"/>
              <w:jc w:val="both"/>
              <w:rPr>
                <w:rFonts w:hint="default" w:ascii="Arial" w:hAnsi="Arial" w:cs="Arial"/>
                <w:b/>
                <w:bCs/>
                <w:color w:val="262626" w:themeColor="text1" w:themeTint="D9"/>
                <w:sz w:val="18"/>
                <w:szCs w:val="18"/>
                <w:lang w:val="en"/>
                <w14:textFill>
                  <w14:solidFill>
                    <w14:schemeClr w14:val="tx1">
                      <w14:lumMod w14:val="85000"/>
                      <w14:lumOff w14:val="15000"/>
                    </w14:schemeClr>
                  </w14:solidFill>
                </w14:textFill>
              </w:rPr>
            </w:pPr>
          </w:p>
        </w:tc>
      </w:tr>
    </w:tbl>
    <w:p>
      <w:pPr>
        <w:rPr>
          <w:rFonts w:ascii="Arial" w:hAnsi="Arial" w:cs="Arial"/>
          <w:i/>
          <w:iCs/>
          <w:color w:val="262626" w:themeColor="text1" w:themeTint="D9"/>
          <w:sz w:val="18"/>
          <w:szCs w:val="18"/>
          <w:lang w:val="en"/>
          <w14:textFill>
            <w14:solidFill>
              <w14:schemeClr w14:val="tx1">
                <w14:lumMod w14:val="85000"/>
                <w14:lumOff w14:val="15000"/>
              </w14:schemeClr>
            </w14:solidFill>
          </w14:textFill>
        </w:rPr>
      </w:pPr>
    </w:p>
    <w:tbl>
      <w:tblPr>
        <w:tblStyle w:val="8"/>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779"/>
        <w:gridCol w:w="4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2" w:type="dxa"/>
            <w:vAlign w:val="center"/>
          </w:tcPr>
          <w:p>
            <w:pPr>
              <w:widowControl w:val="0"/>
              <w:spacing w:line="240" w:lineRule="auto"/>
              <w:jc w:val="center"/>
              <w:rPr>
                <w:rFonts w:ascii="Arial" w:hAnsi="Arial" w:cs="Arial"/>
                <w:b/>
                <w:bCs/>
                <w:color w:val="262626" w:themeColor="text1" w:themeTint="D9"/>
                <w:sz w:val="18"/>
                <w:szCs w:val="18"/>
                <w:lang w:val="sl"/>
                <w14:textFill>
                  <w14:solidFill>
                    <w14:schemeClr w14:val="tx1">
                      <w14:lumMod w14:val="85000"/>
                      <w14:lumOff w14:val="15000"/>
                    </w14:schemeClr>
                  </w14:solidFill>
                </w14:textFill>
              </w:rPr>
            </w:pPr>
          </w:p>
        </w:tc>
        <w:tc>
          <w:tcPr>
            <w:tcW w:w="4779"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Zajezitveni in zdravstveni ukrepi</w:t>
            </w:r>
          </w:p>
        </w:tc>
        <w:tc>
          <w:tcPr>
            <w:tcW w:w="4966"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Priprava na sproščanje ukrepov in gospodarski ukrepi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642" w:type="dxa"/>
            <w:vAlign w:val="center"/>
          </w:tcPr>
          <w:p>
            <w:pPr>
              <w:widowControl w:val="0"/>
              <w:spacing w:line="240" w:lineRule="auto"/>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PL</w:t>
            </w:r>
          </w:p>
        </w:tc>
        <w:tc>
          <w:tcPr>
            <w:tcW w:w="4779" w:type="dxa"/>
          </w:tcPr>
          <w:p>
            <w:pPr>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tc>
        <w:tc>
          <w:tcPr>
            <w:tcW w:w="4966" w:type="dxa"/>
          </w:tcPr>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29.4.: PL MZZ sodeluje s češkimi in nemškimi organi pri iskanju rešitve, ki bo čezmejnim delavcem (ponovno) omogočila odhod na delo. Od 27. marca na Poljskem namreč velja obveznost 14-dnevne karantene tudi za čezmejne delavce.</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bCs/>
                <w:color w:val="262626" w:themeColor="text1" w:themeTint="D9"/>
                <w:sz w:val="18"/>
                <w:szCs w:val="18"/>
                <w:lang w:val="en"/>
                <w14:textFill>
                  <w14:solidFill>
                    <w14:schemeClr w14:val="tx1">
                      <w14:lumMod w14:val="85000"/>
                      <w14:lumOff w14:val="15000"/>
                    </w14:schemeClr>
                  </w14:solidFill>
                </w14:textFill>
              </w:rPr>
              <w:t>29.4.: Druga faza bo v veljavo stopila 4.5. in bo vključevala:</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-ponoven začetek obratovanja hotelov; Delovanje hotelskih restavracij in rekreacijskih prostorov (telovadnice in bazeni), sejne sobe še vedno ostajajo omejeni v delovanju.</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-hotelski bazeni in telovadnice ostajajo zaprti;</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-ponovno se odprejo nakupovalni centri in prodajalne velikih površin (nad 2000 m2), vendar z omejenim številom ljudi in zagotovljeno 15m2 maloprodajne površine na osebo. V trgovskih centrih se odprejo samo trgovine, restavracije in lokali, kinematografi, fitnes centri, rekreacijski prostori in otroške igralnice itd. ostajajo zaprti; </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-ob vikendih se odprejo gradbene trgovine; </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-ponovno se začnejo izvajati terapevtske rehabilitacije. Masažni saloni še naprej ostajajo zaprti;</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-po posvetovanju s sanitarnim inšpektorjem se lahko ponovno postopoma oprejo nekatere knjižnice in kulturne ustanove. V splošnem se bodo kulturne ustanove odpirale postopoma in v različnih obdobjih. </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bCs/>
                <w:color w:val="262626" w:themeColor="text1" w:themeTint="D9"/>
                <w:sz w:val="18"/>
                <w:szCs w:val="18"/>
                <w:lang w:val="en"/>
                <w14:textFill>
                  <w14:solidFill>
                    <w14:schemeClr w14:val="tx1">
                      <w14:lumMod w14:val="85000"/>
                      <w14:lumOff w14:val="15000"/>
                    </w14:schemeClr>
                  </w14:solidFill>
                </w14:textFill>
              </w:rPr>
              <w:t>S 6.5. lahko ponovno začnejo delovati vrtci in varstvene ustanove</w:t>
            </w: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 Odločitev o tem sprejemajo varstvene ustanove. Izjemoma jih lahko zaprejo lokalne oblasti. </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Vodstva varstvenih ustanov morajo strogo upoštevati smernice glavnega sanitarnega inšpektorata ter ministrstva za nacionalno šolstvo ter ministrstva za družino, delo in socialne zadeve. Vlada bo zagotovila razkužila in dezinfekcijska sredstva. Zaradi epidemioloških razmer lahko vodstvo institucije omeji velikost predšolske skupine ali omeji število otrok, ki so v varstvu.</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Dodatek za nego otroka se izplačuje staršem, kadar:</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-je vrtec zaprt z odločbo lokalne uprave,</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-vrtec zaradi omejitev zaradi COVID-19 ne more nuditi oskrbe.</w:t>
            </w:r>
          </w:p>
        </w:tc>
      </w:tr>
    </w:tbl>
    <w:p>
      <w:pPr>
        <w:rPr>
          <w:rFonts w:ascii="Arial" w:hAnsi="Arial" w:cs="Arial"/>
          <w:i/>
          <w:iCs/>
          <w:color w:val="262626" w:themeColor="text1" w:themeTint="D9"/>
          <w:sz w:val="18"/>
          <w:szCs w:val="18"/>
          <w:lang w:val="en"/>
          <w14:textFill>
            <w14:solidFill>
              <w14:schemeClr w14:val="tx1">
                <w14:lumMod w14:val="85000"/>
                <w14:lumOff w14:val="15000"/>
              </w14:schemeClr>
            </w14:solidFill>
          </w14:textFill>
        </w:rPr>
      </w:pPr>
    </w:p>
    <w:tbl>
      <w:tblPr>
        <w:tblStyle w:val="8"/>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779"/>
        <w:gridCol w:w="4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2" w:type="dxa"/>
            <w:vAlign w:val="center"/>
          </w:tcPr>
          <w:p>
            <w:pPr>
              <w:widowControl w:val="0"/>
              <w:spacing w:line="240" w:lineRule="auto"/>
              <w:jc w:val="center"/>
              <w:rPr>
                <w:rFonts w:ascii="Arial" w:hAnsi="Arial" w:cs="Arial"/>
                <w:b/>
                <w:bCs/>
                <w:color w:val="262626" w:themeColor="text1" w:themeTint="D9"/>
                <w:sz w:val="18"/>
                <w:szCs w:val="18"/>
                <w:lang w:val="sl"/>
                <w14:textFill>
                  <w14:solidFill>
                    <w14:schemeClr w14:val="tx1">
                      <w14:lumMod w14:val="85000"/>
                      <w14:lumOff w14:val="15000"/>
                    </w14:schemeClr>
                  </w14:solidFill>
                </w14:textFill>
              </w:rPr>
            </w:pPr>
          </w:p>
        </w:tc>
        <w:tc>
          <w:tcPr>
            <w:tcW w:w="4779"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Zajezitveni in zdravstveni ukrepi</w:t>
            </w:r>
          </w:p>
        </w:tc>
        <w:tc>
          <w:tcPr>
            <w:tcW w:w="4966"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Priprava na sproščanje ukrepov in gospodarski ukrepi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642" w:type="dxa"/>
            <w:vAlign w:val="center"/>
          </w:tcPr>
          <w:p>
            <w:pPr>
              <w:widowControl w:val="0"/>
              <w:spacing w:line="240" w:lineRule="auto"/>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CZ</w:t>
            </w:r>
          </w:p>
        </w:tc>
        <w:tc>
          <w:tcPr>
            <w:tcW w:w="4779" w:type="dxa"/>
          </w:tcPr>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28.4. Poslanska zbornica je podala soglasje za podaljšanje izrednega stanja do 17.5.</w:t>
            </w:r>
          </w:p>
        </w:tc>
        <w:tc>
          <w:tcPr>
            <w:tcW w:w="4966" w:type="dxa"/>
          </w:tcPr>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tc>
      </w:tr>
    </w:tbl>
    <w:p>
      <w:pPr>
        <w:rPr>
          <w:rFonts w:ascii="Arial" w:hAnsi="Arial" w:cs="Arial"/>
          <w:i/>
          <w:iCs/>
          <w:color w:val="262626" w:themeColor="text1" w:themeTint="D9"/>
          <w:sz w:val="18"/>
          <w:szCs w:val="18"/>
          <w:lang w:val="en"/>
          <w14:textFill>
            <w14:solidFill>
              <w14:schemeClr w14:val="tx1">
                <w14:lumMod w14:val="85000"/>
                <w14:lumOff w14:val="15000"/>
              </w14:schemeClr>
            </w14:solidFill>
          </w14:textFill>
        </w:rPr>
      </w:pPr>
    </w:p>
    <w:tbl>
      <w:tblPr>
        <w:tblStyle w:val="8"/>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779"/>
        <w:gridCol w:w="4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2" w:type="dxa"/>
            <w:vAlign w:val="center"/>
          </w:tcPr>
          <w:p>
            <w:pPr>
              <w:widowControl w:val="0"/>
              <w:spacing w:line="240" w:lineRule="auto"/>
              <w:jc w:val="center"/>
              <w:rPr>
                <w:rFonts w:ascii="Arial" w:hAnsi="Arial" w:cs="Arial"/>
                <w:b/>
                <w:bCs/>
                <w:color w:val="262626" w:themeColor="text1" w:themeTint="D9"/>
                <w:sz w:val="18"/>
                <w:szCs w:val="18"/>
                <w:lang w:val="sl"/>
                <w14:textFill>
                  <w14:solidFill>
                    <w14:schemeClr w14:val="tx1">
                      <w14:lumMod w14:val="85000"/>
                      <w14:lumOff w14:val="15000"/>
                    </w14:schemeClr>
                  </w14:solidFill>
                </w14:textFill>
              </w:rPr>
            </w:pPr>
          </w:p>
        </w:tc>
        <w:tc>
          <w:tcPr>
            <w:tcW w:w="4779"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Zajezitveni in zdravstveni ukrepi</w:t>
            </w:r>
          </w:p>
        </w:tc>
        <w:tc>
          <w:tcPr>
            <w:tcW w:w="4966"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Priprava na sproščanje ukrepov in gospodarski ukrepi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642" w:type="dxa"/>
            <w:vAlign w:val="center"/>
          </w:tcPr>
          <w:p>
            <w:pPr>
              <w:widowControl w:val="0"/>
              <w:spacing w:line="240" w:lineRule="auto"/>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SK</w:t>
            </w:r>
          </w:p>
        </w:tc>
        <w:tc>
          <w:tcPr>
            <w:tcW w:w="4779" w:type="dxa"/>
          </w:tcPr>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tc>
        <w:tc>
          <w:tcPr>
            <w:tcW w:w="4966" w:type="dxa"/>
          </w:tcPr>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Sprememba 29.4.: od 1. maja bodo morali dnevni migranti s seboj imeti </w:t>
            </w:r>
            <w:r>
              <w:rPr>
                <w:rFonts w:hint="default" w:ascii="Arial" w:hAnsi="Arial" w:cs="Arial"/>
                <w:b/>
                <w:bCs/>
                <w:color w:val="262626" w:themeColor="text1" w:themeTint="D9"/>
                <w:sz w:val="18"/>
                <w:szCs w:val="18"/>
                <w:lang w:val="en"/>
                <w14:textFill>
                  <w14:solidFill>
                    <w14:schemeClr w14:val="tx1">
                      <w14:lumMod w14:val="85000"/>
                      <w14:lumOff w14:val="15000"/>
                    </w14:schemeClr>
                  </w14:solidFill>
                </w14:textFill>
              </w:rPr>
              <w:t xml:space="preserve">le </w:t>
            </w: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potrdilo o delu. Dnevni migranti so osebe, ki živijo v 30km obmejnem pasu ter se na delo vozijo s SK v CZ, HU in AT oz. obratno. </w:t>
            </w:r>
          </w:p>
        </w:tc>
      </w:tr>
    </w:tbl>
    <w:p>
      <w:pPr>
        <w:rPr>
          <w:rFonts w:ascii="Arial" w:hAnsi="Arial" w:cs="Arial"/>
          <w:i/>
          <w:iCs/>
          <w:color w:val="262626" w:themeColor="text1" w:themeTint="D9"/>
          <w:sz w:val="18"/>
          <w:szCs w:val="18"/>
          <w:lang w:val="en"/>
          <w14:textFill>
            <w14:solidFill>
              <w14:schemeClr w14:val="tx1">
                <w14:lumMod w14:val="85000"/>
                <w14:lumOff w14:val="15000"/>
              </w14:schemeClr>
            </w14:solidFill>
          </w14:textFill>
        </w:rPr>
      </w:pPr>
    </w:p>
    <w:tbl>
      <w:tblPr>
        <w:tblStyle w:val="8"/>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779"/>
        <w:gridCol w:w="4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2" w:type="dxa"/>
            <w:vAlign w:val="center"/>
          </w:tcPr>
          <w:p>
            <w:pPr>
              <w:widowControl w:val="0"/>
              <w:spacing w:line="240" w:lineRule="auto"/>
              <w:jc w:val="center"/>
              <w:rPr>
                <w:rFonts w:ascii="Arial" w:hAnsi="Arial" w:cs="Arial"/>
                <w:b/>
                <w:bCs/>
                <w:color w:val="262626" w:themeColor="text1" w:themeTint="D9"/>
                <w:sz w:val="18"/>
                <w:szCs w:val="18"/>
                <w:lang w:val="sl"/>
                <w14:textFill>
                  <w14:solidFill>
                    <w14:schemeClr w14:val="tx1">
                      <w14:lumMod w14:val="85000"/>
                      <w14:lumOff w14:val="15000"/>
                    </w14:schemeClr>
                  </w14:solidFill>
                </w14:textFill>
              </w:rPr>
            </w:pPr>
          </w:p>
        </w:tc>
        <w:tc>
          <w:tcPr>
            <w:tcW w:w="4779"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Zajezitveni in zdravstveni ukrepi</w:t>
            </w:r>
          </w:p>
        </w:tc>
        <w:tc>
          <w:tcPr>
            <w:tcW w:w="4966"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Priprava na sproščanje ukrepov in gospodarski ukrepi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642" w:type="dxa"/>
            <w:vAlign w:val="center"/>
          </w:tcPr>
          <w:p>
            <w:pPr>
              <w:widowControl w:val="0"/>
              <w:spacing w:line="240" w:lineRule="auto"/>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RO</w:t>
            </w:r>
          </w:p>
        </w:tc>
        <w:tc>
          <w:tcPr>
            <w:tcW w:w="4779" w:type="dxa"/>
          </w:tcPr>
          <w:p>
            <w:pPr>
              <w:widowControl w:val="0"/>
              <w:jc w:val="both"/>
              <w:rPr>
                <w:rFonts w:hint="default" w:ascii="Arial" w:hAnsi="Arial" w:cs="Arial"/>
                <w:b/>
                <w:bCs/>
                <w:color w:val="262626" w:themeColor="text1" w:themeTint="D9"/>
                <w:sz w:val="18"/>
                <w:szCs w:val="18"/>
                <w:lang w:val="en"/>
                <w14:textFill>
                  <w14:solidFill>
                    <w14:schemeClr w14:val="tx1">
                      <w14:lumMod w14:val="85000"/>
                      <w14:lumOff w14:val="15000"/>
                    </w14:schemeClr>
                  </w14:solidFill>
                </w14:textFill>
              </w:rPr>
            </w:pPr>
          </w:p>
        </w:tc>
        <w:tc>
          <w:tcPr>
            <w:tcW w:w="4966" w:type="dxa"/>
          </w:tcPr>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Vlada ima pripravljene štiri scenarije za sproščanje ukrepov, ki se bo zgodilo po 15. maju. Eden scenarij predvideva tudi morebitni podaljšanje uradno razglašenega izrednega stanja.  </w:t>
            </w:r>
          </w:p>
        </w:tc>
      </w:tr>
    </w:tbl>
    <w:p>
      <w:pPr>
        <w:rPr>
          <w:rFonts w:ascii="Arial" w:hAnsi="Arial" w:cs="Arial"/>
          <w:i/>
          <w:iCs/>
          <w:color w:val="262626" w:themeColor="text1" w:themeTint="D9"/>
          <w:sz w:val="18"/>
          <w:szCs w:val="18"/>
          <w:lang w:val="en"/>
          <w14:textFill>
            <w14:solidFill>
              <w14:schemeClr w14:val="tx1">
                <w14:lumMod w14:val="85000"/>
                <w14:lumOff w14:val="15000"/>
              </w14:schemeClr>
            </w14:solidFill>
          </w14:textFill>
        </w:rPr>
      </w:pPr>
    </w:p>
    <w:tbl>
      <w:tblPr>
        <w:tblStyle w:val="8"/>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779"/>
        <w:gridCol w:w="4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2" w:type="dxa"/>
            <w:vAlign w:val="center"/>
          </w:tcPr>
          <w:p>
            <w:pPr>
              <w:widowControl w:val="0"/>
              <w:spacing w:line="240" w:lineRule="auto"/>
              <w:jc w:val="center"/>
              <w:rPr>
                <w:rFonts w:ascii="Arial" w:hAnsi="Arial" w:cs="Arial"/>
                <w:b/>
                <w:bCs/>
                <w:color w:val="262626" w:themeColor="text1" w:themeTint="D9"/>
                <w:sz w:val="18"/>
                <w:szCs w:val="18"/>
                <w:lang w:val="sl"/>
                <w14:textFill>
                  <w14:solidFill>
                    <w14:schemeClr w14:val="tx1">
                      <w14:lumMod w14:val="85000"/>
                      <w14:lumOff w14:val="15000"/>
                    </w14:schemeClr>
                  </w14:solidFill>
                </w14:textFill>
              </w:rPr>
            </w:pPr>
          </w:p>
        </w:tc>
        <w:tc>
          <w:tcPr>
            <w:tcW w:w="4779"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Zajezitveni in zdravstveni ukrepi</w:t>
            </w:r>
          </w:p>
        </w:tc>
        <w:tc>
          <w:tcPr>
            <w:tcW w:w="4966"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Priprava na sproščanje ukrepov in gospodarski ukrepi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642" w:type="dxa"/>
            <w:vAlign w:val="center"/>
          </w:tcPr>
          <w:p>
            <w:pPr>
              <w:widowControl w:val="0"/>
              <w:spacing w:line="240" w:lineRule="auto"/>
              <w:jc w:val="center"/>
              <w:rPr>
                <w:rFonts w:ascii="Arial" w:hAnsi="Arial" w:cs="Arial"/>
                <w:color w:val="262626" w:themeColor="text1" w:themeTint="D9"/>
                <w:sz w:val="18"/>
                <w:szCs w:val="18"/>
                <w:lang w:val="en"/>
                <w14:textFill>
                  <w14:solidFill>
                    <w14:schemeClr w14:val="tx1">
                      <w14:lumMod w14:val="85000"/>
                      <w14:lumOff w14:val="15000"/>
                    </w14:schemeClr>
                  </w14:solidFill>
                </w14:textFill>
              </w:rPr>
            </w:pPr>
            <w:r>
              <w:rPr>
                <w:rFonts w:ascii="Arial" w:hAnsi="Arial" w:cs="Arial"/>
                <w:color w:val="262626" w:themeColor="text1" w:themeTint="D9"/>
                <w:sz w:val="18"/>
                <w:szCs w:val="18"/>
                <w:lang w:val="en"/>
                <w14:textFill>
                  <w14:solidFill>
                    <w14:schemeClr w14:val="tx1">
                      <w14:lumMod w14:val="85000"/>
                      <w14:lumOff w14:val="15000"/>
                    </w14:schemeClr>
                  </w14:solidFill>
                </w14:textFill>
              </w:rPr>
              <w:t>BG</w:t>
            </w:r>
          </w:p>
        </w:tc>
        <w:tc>
          <w:tcPr>
            <w:tcW w:w="4779" w:type="dxa"/>
          </w:tcPr>
          <w:p>
            <w:pPr>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29.4.: Odločitev o zaprtju šol do konca šolskega leta, učenci bodo v šole prišli le zaradi opravljanja zaključnih izpitov.</w:t>
            </w:r>
          </w:p>
          <w:p>
            <w:pPr>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29.4.: Začetek množičnega testiranja v domovih za starejše v Sofiji. 27. 4. – Najava začetka množičnega testiranja v Plovdivu (2. največje BG mesto) na vzorcu 1000 naključno izbranih prebivalcev.</w:t>
            </w:r>
          </w:p>
        </w:tc>
        <w:tc>
          <w:tcPr>
            <w:tcW w:w="4966" w:type="dxa"/>
          </w:tcPr>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tc>
      </w:tr>
    </w:tbl>
    <w:p>
      <w:pPr>
        <w:rPr>
          <w:rFonts w:ascii="Arial" w:hAnsi="Arial" w:cs="Arial"/>
          <w:i/>
          <w:iCs/>
          <w:color w:val="262626" w:themeColor="text1" w:themeTint="D9"/>
          <w:sz w:val="18"/>
          <w:szCs w:val="18"/>
          <w:lang w:val="en"/>
          <w14:textFill>
            <w14:solidFill>
              <w14:schemeClr w14:val="tx1">
                <w14:lumMod w14:val="85000"/>
                <w14:lumOff w14:val="15000"/>
              </w14:schemeClr>
            </w14:solidFill>
          </w14:textFill>
        </w:rPr>
      </w:pPr>
    </w:p>
    <w:tbl>
      <w:tblPr>
        <w:tblStyle w:val="8"/>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779"/>
        <w:gridCol w:w="4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2" w:type="dxa"/>
            <w:vAlign w:val="center"/>
          </w:tcPr>
          <w:p>
            <w:pPr>
              <w:widowControl w:val="0"/>
              <w:spacing w:line="240" w:lineRule="auto"/>
              <w:jc w:val="center"/>
              <w:rPr>
                <w:rFonts w:ascii="Arial" w:hAnsi="Arial" w:cs="Arial"/>
                <w:b/>
                <w:bCs/>
                <w:color w:val="262626" w:themeColor="text1" w:themeTint="D9"/>
                <w:sz w:val="18"/>
                <w:szCs w:val="18"/>
                <w:lang w:val="sl"/>
                <w14:textFill>
                  <w14:solidFill>
                    <w14:schemeClr w14:val="tx1">
                      <w14:lumMod w14:val="85000"/>
                      <w14:lumOff w14:val="15000"/>
                    </w14:schemeClr>
                  </w14:solidFill>
                </w14:textFill>
              </w:rPr>
            </w:pPr>
          </w:p>
        </w:tc>
        <w:tc>
          <w:tcPr>
            <w:tcW w:w="4779"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Zajezitveni in zdravstveni ukrepi</w:t>
            </w:r>
          </w:p>
        </w:tc>
        <w:tc>
          <w:tcPr>
            <w:tcW w:w="4966"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Priprava na sproščanje ukrepov in gospodarski ukrepi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642" w:type="dxa"/>
            <w:vAlign w:val="center"/>
          </w:tcPr>
          <w:p>
            <w:pPr>
              <w:widowControl w:val="0"/>
              <w:spacing w:line="240" w:lineRule="auto"/>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LT</w:t>
            </w:r>
          </w:p>
        </w:tc>
        <w:tc>
          <w:tcPr>
            <w:tcW w:w="4779" w:type="dxa"/>
          </w:tcPr>
          <w:p>
            <w:pPr>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29.4.: Vlada je vzpostavila postopke za dodelitev nadomestil medicinskemu osebju, ki dela s pacienti s posebno resnimi nalezljivimi boleznimi, in zdravstvenim delavcem, ki izvajajo preventivo pri izbruhih posebno resnih nalezljivih bolezni. Seimas je pred tem potrdil, da se bo tem zaposlenim izplačalo 60 do 100 % višje plače. Izplačani bodo od začetka meseca, v katerem je napovedana karantena, tj. od marca do konca meseca karantene.</w:t>
            </w:r>
          </w:p>
          <w:p>
            <w:pPr>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Z odločitvijo vlade bo določen odstotek povišanja plač zaposlenih v zdravstvenih ustanovah, ki pripadajo nacionalnemu zdravstvenemu sistemu, določil vodja zavoda, pri čemer bo upošteval funkcijo zaposlenega, težavnost storitev, stopnjo odgovornosti in obseg dela. Preučilo se bo, ali so npr. v tesnem stiku z okuženimi pacienti, izvajajo intervencijske postopke, odvzemajo brise ali delajo na vzorcih v laboratorijih itd. in tudi ali njihove presegajo predpisani delovni čas.</w:t>
            </w:r>
          </w:p>
          <w:p>
            <w:pPr>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Vlada je potrdila predlog ministrstva za zdravje, da se sredstva iz rezerve zdravstvenega zavarovanja lahko uporabijo za dvig plač zdravstvenemu osebju (COVID-19). Rezerva trenutno znaša skoraj 35 milijona EUR. Zakon o zdravstvenem zavarovanju v primeru izrednih razmer (na primer epidemije) predvideva uporabo proračunske rezerve.</w:t>
            </w:r>
          </w:p>
        </w:tc>
        <w:tc>
          <w:tcPr>
            <w:tcW w:w="4966" w:type="dxa"/>
          </w:tcPr>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29.4.: Litva se je na mednarodnih denarnih trgih zadolžila za 2 milijardi EUR - z namenom pomoči gospodarstvu, prizadetemu v pandemiji s COVID-19.</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29.4.: Vlada Litve je na predlog ministrstva za zdravje 29. aprila odločila, da bo še dodatno olajšala karantenske razmere v državi. </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Od 29. aprila je dovoljeno polno trgovanje na vseh mestih trgovanja, tj. tako na tržnicah kot na javnih mestih, pod pogojem, da je pretok oseb omejen (vsaj 10 m2 maloprodajnega prostora na kupca ali največ en kupec) in so zagotovljeni potrebni zdravstveni in higienski pogoji, vključno z osebno zaščitno opremo tako za prodajalce kot za stranke. Če mesta trgovanja ne morejo izpolniti določenih zahtev, se tam storitev ne sme izvajati.</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Od 30. aprila naprej se obveznost zaščitne obrazne opreme (obrazne maske, respiratorji ali druga zaščitna oprema) na javnih mestih dodatno prilagodi. Maske in drugo zaščitno opremo morajo nositi vsi, ki so starejši od 6 let. Izvzeti so tudi profesionalni športniki pri določenih oblikah treninga (na prostem, na podeželju).  </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Od 30. aprila se lahko izvajajo storitve (v zaprtih prostorih in na prostem), ki se ne štejejo kot storitve kratkotrajne narave (tj. storitve, ki trajajo do 20 minut), vendar pod pogojem, da se pretok strank/oseb še naprej omejuje.</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Glede na izredno nizko tveganje za širjenje virusa, se ob upoštevanju dodatnih varnostnih in higienskih zahtev (razdalja, maske, razkuževanje) lahko na prostem ponovno izvaja širši nabor storitev, kot so treningi psov, fotografiranje na prostem, jahanje konjev itd.</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Enako velja, da je od 30. aprila naprej več možnosti za organiziranje prostočasnih dejavnosti na odprtih površinah. Poleg že dovoljenih dejavnostih na golf površinah in zunanjih teniških igriščih, streliščih na prostem, karting stezah, se dovoli vse prostočasne, če se bodo odvijale na odprtem prostoru in jih vodijo posamezniki, skupine do 2 osebe in družine. </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Dovoli se trening za športnike in kandidate za olimpijske in paraolimpijske igre, športnike, ki se pripravljajo na svetovna ali evropska prvenstva, državne reprezentance ali druge športnike, ki se pripravljajo na ekipne športne turnirje (lige). </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Od 4. maja se odpravlja omejitev za odhod litovskih državljanov iz države. </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Od 4. maja se bo dopustilo možnosti za organiziranje prostočasnih dejavnosti, državljanom Litve bo dopuščeno zapustiti državo, nadaljevalo se bo sproščanje izvajanja zdravstvenih storitev.</w:t>
            </w:r>
          </w:p>
        </w:tc>
      </w:tr>
    </w:tbl>
    <w:p>
      <w:pPr>
        <w:rPr>
          <w:rFonts w:ascii="Arial" w:hAnsi="Arial" w:cs="Arial"/>
          <w:i/>
          <w:iCs/>
          <w:color w:val="262626" w:themeColor="text1" w:themeTint="D9"/>
          <w:sz w:val="18"/>
          <w:szCs w:val="18"/>
          <w:lang w:val="en"/>
          <w14:textFill>
            <w14:solidFill>
              <w14:schemeClr w14:val="tx1">
                <w14:lumMod w14:val="85000"/>
                <w14:lumOff w14:val="15000"/>
              </w14:schemeClr>
            </w14:solidFill>
          </w14:textFill>
        </w:rPr>
      </w:pPr>
    </w:p>
    <w:tbl>
      <w:tblPr>
        <w:tblStyle w:val="8"/>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779"/>
        <w:gridCol w:w="4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2" w:type="dxa"/>
            <w:vAlign w:val="center"/>
          </w:tcPr>
          <w:p>
            <w:pPr>
              <w:widowControl w:val="0"/>
              <w:spacing w:line="240" w:lineRule="auto"/>
              <w:jc w:val="center"/>
              <w:rPr>
                <w:rFonts w:ascii="Arial" w:hAnsi="Arial" w:cs="Arial"/>
                <w:b/>
                <w:bCs/>
                <w:color w:val="262626" w:themeColor="text1" w:themeTint="D9"/>
                <w:sz w:val="18"/>
                <w:szCs w:val="18"/>
                <w:lang w:val="sl"/>
                <w14:textFill>
                  <w14:solidFill>
                    <w14:schemeClr w14:val="tx1">
                      <w14:lumMod w14:val="85000"/>
                      <w14:lumOff w14:val="15000"/>
                    </w14:schemeClr>
                  </w14:solidFill>
                </w14:textFill>
              </w:rPr>
            </w:pPr>
          </w:p>
        </w:tc>
        <w:tc>
          <w:tcPr>
            <w:tcW w:w="4779"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Zajezitveni in zdravstveni ukrepi</w:t>
            </w:r>
          </w:p>
        </w:tc>
        <w:tc>
          <w:tcPr>
            <w:tcW w:w="4966"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Priprava na sproščanje ukrepov in gospodarski ukrepi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642" w:type="dxa"/>
            <w:vAlign w:val="center"/>
          </w:tcPr>
          <w:p>
            <w:pPr>
              <w:widowControl w:val="0"/>
              <w:spacing w:line="240" w:lineRule="auto"/>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LV</w:t>
            </w:r>
          </w:p>
        </w:tc>
        <w:tc>
          <w:tcPr>
            <w:tcW w:w="4779" w:type="dxa"/>
          </w:tcPr>
          <w:p>
            <w:pPr>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tc>
        <w:tc>
          <w:tcPr>
            <w:tcW w:w="4966" w:type="dxa"/>
          </w:tcPr>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28.4.: Latvijska vlada je podprla spremembe zakonodaje, ki pod določenimi pogoji omogoča delodajalcem, da do konca leta zaposlenim znižajo plačo na 70% zneska, kot ga določa zakon o delovnih razmerjih. Zaposleni, ki se ne strinjajo z zaposlitvijo za krajši delovni čas, imajo pravico do odpovedi pogodbe brez predpisanega odpovednega roka, bodo pa še vedno upravičeni do prejema odpravnine. Predlagane spremembe zakona mora še potrditi latvijski parlament.</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29.4.</w:t>
            </w:r>
          </w:p>
          <w:p>
            <w:pPr>
              <w:pStyle w:val="9"/>
              <w:widowControl w:val="0"/>
              <w:jc w:val="both"/>
              <w:rPr>
                <w:rFonts w:hint="default"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bCs/>
                <w:color w:val="262626" w:themeColor="text1" w:themeTint="D9"/>
                <w:sz w:val="18"/>
                <w:szCs w:val="18"/>
                <w:lang w:val="en"/>
                <w14:textFill>
                  <w14:solidFill>
                    <w14:schemeClr w14:val="tx1">
                      <w14:lumMod w14:val="85000"/>
                      <w14:lumOff w14:val="15000"/>
                    </w14:schemeClr>
                  </w14:solidFill>
                </w14:textFill>
              </w:rPr>
              <w:t xml:space="preserve">NAPOVED: PV Kariņš je napovedal, da bo latvijska vlada 7. maja pregledala vse sprejete ukrepe. </w:t>
            </w:r>
          </w:p>
          <w:p>
            <w:pPr>
              <w:pStyle w:val="9"/>
              <w:widowControl w:val="0"/>
              <w:jc w:val="both"/>
              <w:rPr>
                <w:rFonts w:hint="default" w:ascii="Arial" w:hAnsi="Arial" w:cs="Arial"/>
                <w:b/>
                <w:bCs/>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bCs/>
                <w:color w:val="262626" w:themeColor="text1" w:themeTint="D9"/>
                <w:sz w:val="18"/>
                <w:szCs w:val="18"/>
                <w:lang w:val="en"/>
                <w14:textFill>
                  <w14:solidFill>
                    <w14:schemeClr w14:val="tx1">
                      <w14:lumMod w14:val="85000"/>
                      <w14:lumOff w14:val="15000"/>
                    </w14:schemeClr>
                  </w14:solidFill>
                </w14:textFill>
              </w:rPr>
              <w:t>Vlada bo pri presojanja in odločanju o nadaljnjih korakih uporabila 4x4 metodo: 4-tedensko obdobje s štirimi temeljnimi kriteriji za presojanje: (I) epidemiološke razmere, (II) delovna obremenitev zdravstvenega sistema, (III) stanje v drugih državah in (IV) vprašanja javne varnosti , javno razpoloženje in nadzor nad javnimi prireditvami.</w:t>
            </w:r>
          </w:p>
        </w:tc>
      </w:tr>
    </w:tbl>
    <w:p>
      <w:pPr>
        <w:rPr>
          <w:rFonts w:ascii="Arial" w:hAnsi="Arial" w:cs="Arial"/>
          <w:i/>
          <w:iCs/>
          <w:color w:val="262626" w:themeColor="text1" w:themeTint="D9"/>
          <w:sz w:val="18"/>
          <w:szCs w:val="18"/>
          <w:lang w:val="en"/>
          <w14:textFill>
            <w14:solidFill>
              <w14:schemeClr w14:val="tx1">
                <w14:lumMod w14:val="85000"/>
                <w14:lumOff w14:val="15000"/>
              </w14:schemeClr>
            </w14:solidFill>
          </w14:textFill>
        </w:rPr>
      </w:pPr>
    </w:p>
    <w:tbl>
      <w:tblPr>
        <w:tblStyle w:val="8"/>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779"/>
        <w:gridCol w:w="4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2" w:type="dxa"/>
            <w:vAlign w:val="center"/>
          </w:tcPr>
          <w:p>
            <w:pPr>
              <w:widowControl w:val="0"/>
              <w:spacing w:line="240" w:lineRule="auto"/>
              <w:jc w:val="center"/>
              <w:rPr>
                <w:rFonts w:ascii="Arial" w:hAnsi="Arial" w:cs="Arial"/>
                <w:b/>
                <w:bCs/>
                <w:color w:val="262626" w:themeColor="text1" w:themeTint="D9"/>
                <w:sz w:val="18"/>
                <w:szCs w:val="18"/>
                <w:lang w:val="sl"/>
                <w14:textFill>
                  <w14:solidFill>
                    <w14:schemeClr w14:val="tx1">
                      <w14:lumMod w14:val="85000"/>
                      <w14:lumOff w14:val="15000"/>
                    </w14:schemeClr>
                  </w14:solidFill>
                </w14:textFill>
              </w:rPr>
            </w:pPr>
          </w:p>
        </w:tc>
        <w:tc>
          <w:tcPr>
            <w:tcW w:w="4779"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Zajezitveni in zdravstveni ukrepi</w:t>
            </w:r>
          </w:p>
        </w:tc>
        <w:tc>
          <w:tcPr>
            <w:tcW w:w="4966"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Priprava na sproščanje ukrepov in gospodarski ukrepi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642" w:type="dxa"/>
            <w:vAlign w:val="center"/>
          </w:tcPr>
          <w:p>
            <w:pPr>
              <w:widowControl w:val="0"/>
              <w:spacing w:line="240" w:lineRule="auto"/>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ascii="Arial" w:hAnsi="Arial" w:cs="Arial"/>
                <w:color w:val="262626" w:themeColor="text1" w:themeTint="D9"/>
                <w:sz w:val="18"/>
                <w:szCs w:val="18"/>
                <w:lang w:val="en"/>
                <w14:textFill>
                  <w14:solidFill>
                    <w14:schemeClr w14:val="tx1">
                      <w14:lumMod w14:val="85000"/>
                      <w14:lumOff w14:val="15000"/>
                    </w14:schemeClr>
                  </w14:solidFill>
                </w14:textFill>
              </w:rPr>
              <w:t>E</w:t>
            </w: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S</w:t>
            </w:r>
          </w:p>
        </w:tc>
        <w:tc>
          <w:tcPr>
            <w:tcW w:w="4779" w:type="dxa"/>
          </w:tcPr>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29.4.</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Pravosodje:</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Sprejet zakon o procesnih, organizacijskih in varnostnih ukrepih v pravosodju. Gre za pet sklopov ukrepov: </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-varnost pri delu: delo v dveh izmenah, osebni stik s strankami le izjemoma in po predhodnem dogovoru, razprave (razen v kazenskih postopkih za hujša kazniva dejanja) potekajo preko video konferenc, oprostitev nošenja halj (ukrepe je potrebno spoštovati še 3 mesece po koncu kritičnega stanja)</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-reaktivacija sodne dejavnosti: možnost vzpostavitve posebnih začasnih oddelkov za zadeve, ki izhajajo iz krize, delo v avgustu, kadrovski ukrepi</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-digitalna tranfsormacija: izboljšanje sistemov za omogočanje dela na daljavo </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-procesni ukrepi (postopkovni roki)</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-ukrepi glede stečajnih postopkov (ukrepi, namenjeni ohranjanju podjetij, spodbujanju financiranja podjetij in obvladovanju povečanega obsega dela sodišč)</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Pomorstvo:</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Sprejet ukaz glede potrebne dokumentacije za olajšanje prehajanja meje in gibanja po Španiji ladijskim posadkam. Dodatno se dovoli uporabo turističnih nastanitev za potrebe počitka ter premestitve posadke.</w:t>
            </w:r>
          </w:p>
        </w:tc>
        <w:tc>
          <w:tcPr>
            <w:tcW w:w="4966" w:type="dxa"/>
          </w:tcPr>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tc>
      </w:tr>
    </w:tbl>
    <w:p>
      <w:pPr>
        <w:rPr>
          <w:rFonts w:ascii="Arial" w:hAnsi="Arial" w:cs="Arial"/>
          <w:i/>
          <w:iCs/>
          <w:color w:val="262626" w:themeColor="text1" w:themeTint="D9"/>
          <w:sz w:val="18"/>
          <w:szCs w:val="18"/>
          <w:lang w:val="en"/>
          <w14:textFill>
            <w14:solidFill>
              <w14:schemeClr w14:val="tx1">
                <w14:lumMod w14:val="85000"/>
                <w14:lumOff w14:val="15000"/>
              </w14:schemeClr>
            </w14:solidFill>
          </w14:textFill>
        </w:rPr>
      </w:pPr>
    </w:p>
    <w:tbl>
      <w:tblPr>
        <w:tblStyle w:val="8"/>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779"/>
        <w:gridCol w:w="4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2" w:type="dxa"/>
            <w:vAlign w:val="center"/>
          </w:tcPr>
          <w:p>
            <w:pPr>
              <w:widowControl w:val="0"/>
              <w:spacing w:line="240" w:lineRule="auto"/>
              <w:jc w:val="center"/>
              <w:rPr>
                <w:rFonts w:ascii="Arial" w:hAnsi="Arial" w:cs="Arial"/>
                <w:b/>
                <w:bCs/>
                <w:color w:val="262626" w:themeColor="text1" w:themeTint="D9"/>
                <w:sz w:val="18"/>
                <w:szCs w:val="18"/>
                <w:lang w:val="sl"/>
                <w14:textFill>
                  <w14:solidFill>
                    <w14:schemeClr w14:val="tx1">
                      <w14:lumMod w14:val="85000"/>
                      <w14:lumOff w14:val="15000"/>
                    </w14:schemeClr>
                  </w14:solidFill>
                </w14:textFill>
              </w:rPr>
            </w:pPr>
          </w:p>
        </w:tc>
        <w:tc>
          <w:tcPr>
            <w:tcW w:w="4779"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Zajezitveni in zdravstveni ukrepi</w:t>
            </w:r>
          </w:p>
        </w:tc>
        <w:tc>
          <w:tcPr>
            <w:tcW w:w="4966"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Priprava na sproščanje ukrepov in gospodarski ukrepi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642" w:type="dxa"/>
            <w:vAlign w:val="center"/>
          </w:tcPr>
          <w:p>
            <w:pPr>
              <w:widowControl w:val="0"/>
              <w:spacing w:line="240" w:lineRule="auto"/>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IE</w:t>
            </w:r>
          </w:p>
        </w:tc>
        <w:tc>
          <w:tcPr>
            <w:tcW w:w="4779" w:type="dxa"/>
          </w:tcPr>
          <w:p>
            <w:pPr>
              <w:widowControl w:val="0"/>
              <w:jc w:val="both"/>
              <w:rPr>
                <w:rFonts w:hint="default" w:ascii="Arial" w:hAnsi="Arial" w:cs="Arial"/>
                <w:b w:val="0"/>
                <w:bCs w:val="0"/>
                <w:color w:val="262626" w:themeColor="text1" w:themeTint="D9"/>
                <w:sz w:val="18"/>
                <w:szCs w:val="18"/>
                <w:u w:val="none"/>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u w:val="none"/>
                <w:lang w:val="en"/>
                <w14:textFill>
                  <w14:solidFill>
                    <w14:schemeClr w14:val="tx1">
                      <w14:lumMod w14:val="85000"/>
                      <w14:lumOff w14:val="15000"/>
                    </w14:schemeClr>
                  </w14:solidFill>
                </w14:textFill>
              </w:rPr>
              <w:t xml:space="preserve">29. 4.: ministrica za podjetništvo, podjetja in inovacije Heather Humphreys napovedala financiranje 26 novih projektov na področju raziskav in inovacij v boju s koronavirusom v vrednosti 5 mio EUR </w:t>
            </w:r>
          </w:p>
        </w:tc>
        <w:tc>
          <w:tcPr>
            <w:tcW w:w="4966" w:type="dxa"/>
          </w:tcPr>
          <w:p>
            <w:pPr>
              <w:pStyle w:val="9"/>
              <w:widowControl w:val="0"/>
              <w:jc w:val="both"/>
              <w:rPr>
                <w:rFonts w:hint="default" w:ascii="Arial" w:hAnsi="Arial" w:cs="Arial"/>
                <w:color w:val="262626" w:themeColor="text1" w:themeTint="D9"/>
                <w:sz w:val="18"/>
                <w:szCs w:val="18"/>
                <w:u w:val="none"/>
                <w:lang w:val="en"/>
                <w14:textFill>
                  <w14:solidFill>
                    <w14:schemeClr w14:val="tx1">
                      <w14:lumMod w14:val="85000"/>
                      <w14:lumOff w14:val="15000"/>
                    </w14:schemeClr>
                  </w14:solidFill>
                </w14:textFill>
              </w:rPr>
            </w:pPr>
          </w:p>
        </w:tc>
      </w:tr>
    </w:tbl>
    <w:p>
      <w:pPr>
        <w:rPr>
          <w:rFonts w:ascii="Arial" w:hAnsi="Arial" w:cs="Arial"/>
          <w:i/>
          <w:iCs/>
          <w:color w:val="262626" w:themeColor="text1" w:themeTint="D9"/>
          <w:sz w:val="18"/>
          <w:szCs w:val="18"/>
          <w:lang w:val="en"/>
          <w14:textFill>
            <w14:solidFill>
              <w14:schemeClr w14:val="tx1">
                <w14:lumMod w14:val="85000"/>
                <w14:lumOff w14:val="15000"/>
              </w14:schemeClr>
            </w14:solidFill>
          </w14:textFill>
        </w:rPr>
      </w:pPr>
    </w:p>
    <w:tbl>
      <w:tblPr>
        <w:tblStyle w:val="8"/>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779"/>
        <w:gridCol w:w="4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2" w:type="dxa"/>
            <w:vAlign w:val="center"/>
          </w:tcPr>
          <w:p>
            <w:pPr>
              <w:widowControl w:val="0"/>
              <w:spacing w:line="240" w:lineRule="auto"/>
              <w:jc w:val="center"/>
              <w:rPr>
                <w:rFonts w:ascii="Arial" w:hAnsi="Arial" w:cs="Arial"/>
                <w:b/>
                <w:bCs/>
                <w:color w:val="262626" w:themeColor="text1" w:themeTint="D9"/>
                <w:sz w:val="18"/>
                <w:szCs w:val="18"/>
                <w:lang w:val="sl"/>
                <w14:textFill>
                  <w14:solidFill>
                    <w14:schemeClr w14:val="tx1">
                      <w14:lumMod w14:val="85000"/>
                      <w14:lumOff w14:val="15000"/>
                    </w14:schemeClr>
                  </w14:solidFill>
                </w14:textFill>
              </w:rPr>
            </w:pPr>
          </w:p>
        </w:tc>
        <w:tc>
          <w:tcPr>
            <w:tcW w:w="4779"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Zajezitveni in zdravstveni ukrepi</w:t>
            </w:r>
          </w:p>
        </w:tc>
        <w:tc>
          <w:tcPr>
            <w:tcW w:w="4966"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Priprava na sproščanje ukrepov in gospodarski ukrepi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642" w:type="dxa"/>
            <w:vAlign w:val="center"/>
          </w:tcPr>
          <w:p>
            <w:pPr>
              <w:widowControl w:val="0"/>
              <w:spacing w:line="240" w:lineRule="auto"/>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ZK</w:t>
            </w:r>
          </w:p>
        </w:tc>
        <w:tc>
          <w:tcPr>
            <w:tcW w:w="4779" w:type="dxa"/>
          </w:tcPr>
          <w:p>
            <w:pPr>
              <w:widowControl w:val="0"/>
              <w:jc w:val="both"/>
              <w:rPr>
                <w:rFonts w:hint="default" w:ascii="Arial" w:hAnsi="Arial" w:cs="Arial"/>
                <w:b w:val="0"/>
                <w:bCs w:val="0"/>
                <w:color w:val="262626" w:themeColor="text1" w:themeTint="D9"/>
                <w:sz w:val="18"/>
                <w:szCs w:val="18"/>
                <w:u w:val="none"/>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u w:val="none"/>
                <w:lang w:val="en"/>
                <w14:textFill>
                  <w14:solidFill>
                    <w14:schemeClr w14:val="tx1">
                      <w14:lumMod w14:val="85000"/>
                      <w14:lumOff w14:val="15000"/>
                    </w14:schemeClr>
                  </w14:solidFill>
                </w14:textFill>
              </w:rPr>
              <w:t>29.4.: ministrica za notranje zadeve Priti Patel je povedala, da bodo vsem ključnim zdravstvenim delavcem in negovalnemu osebju, vizum, ki bi jim potekel pred 1. 10. 2020, brezplačno podaljšali za 1 leto, prav tako njihovim družinskim članom</w:t>
            </w:r>
          </w:p>
          <w:p>
            <w:pPr>
              <w:widowControl w:val="0"/>
              <w:jc w:val="both"/>
              <w:rPr>
                <w:rFonts w:hint="default" w:ascii="Arial" w:hAnsi="Arial" w:cs="Arial"/>
                <w:b w:val="0"/>
                <w:bCs w:val="0"/>
                <w:color w:val="262626" w:themeColor="text1" w:themeTint="D9"/>
                <w:sz w:val="18"/>
                <w:szCs w:val="18"/>
                <w:u w:val="none"/>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u w:val="none"/>
                <w:lang w:val="en"/>
                <w14:textFill>
                  <w14:solidFill>
                    <w14:schemeClr w14:val="tx1">
                      <w14:lumMod w14:val="85000"/>
                      <w14:lumOff w14:val="15000"/>
                    </w14:schemeClr>
                  </w14:solidFill>
                </w14:textFill>
              </w:rPr>
              <w:t>29.4.: MZZ Raab napovedal, da bodo v prihodnje napori usmerjeni v testiranje (še vedno je cilj 100.000 testov, trenutna zmogljivost 73.000;  28. 4. opravljenih 52.429 testov) in odkrivanje okuženih;</w:t>
            </w:r>
          </w:p>
        </w:tc>
        <w:tc>
          <w:tcPr>
            <w:tcW w:w="4966" w:type="dxa"/>
          </w:tcPr>
          <w:p>
            <w:pPr>
              <w:pStyle w:val="9"/>
              <w:widowControl w:val="0"/>
              <w:jc w:val="both"/>
              <w:rPr>
                <w:rFonts w:hint="default" w:ascii="Arial" w:hAnsi="Arial" w:cs="Arial"/>
                <w:color w:val="262626" w:themeColor="text1" w:themeTint="D9"/>
                <w:sz w:val="18"/>
                <w:szCs w:val="18"/>
                <w:u w:val="none"/>
                <w:lang w:val="en"/>
                <w14:textFill>
                  <w14:solidFill>
                    <w14:schemeClr w14:val="tx1">
                      <w14:lumMod w14:val="85000"/>
                      <w14:lumOff w14:val="15000"/>
                    </w14:schemeClr>
                  </w14:solidFill>
                </w14:textFill>
              </w:rPr>
            </w:pPr>
          </w:p>
        </w:tc>
      </w:tr>
    </w:tbl>
    <w:p>
      <w:pPr>
        <w:rPr>
          <w:rFonts w:ascii="Arial" w:hAnsi="Arial" w:cs="Arial"/>
          <w:i/>
          <w:iCs/>
          <w:color w:val="262626" w:themeColor="text1" w:themeTint="D9"/>
          <w:sz w:val="18"/>
          <w:szCs w:val="18"/>
          <w:lang w:val="en"/>
          <w14:textFill>
            <w14:solidFill>
              <w14:schemeClr w14:val="tx1">
                <w14:lumMod w14:val="85000"/>
                <w14:lumOff w14:val="15000"/>
              </w14:schemeClr>
            </w14:solidFill>
          </w14:textFill>
        </w:rPr>
      </w:pPr>
    </w:p>
    <w:tbl>
      <w:tblPr>
        <w:tblStyle w:val="8"/>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779"/>
        <w:gridCol w:w="4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2" w:type="dxa"/>
            <w:vAlign w:val="center"/>
          </w:tcPr>
          <w:p>
            <w:pPr>
              <w:widowControl w:val="0"/>
              <w:spacing w:line="240" w:lineRule="auto"/>
              <w:jc w:val="center"/>
              <w:rPr>
                <w:rFonts w:ascii="Arial" w:hAnsi="Arial" w:cs="Arial"/>
                <w:b/>
                <w:bCs/>
                <w:color w:val="262626" w:themeColor="text1" w:themeTint="D9"/>
                <w:sz w:val="18"/>
                <w:szCs w:val="18"/>
                <w:lang w:val="sl"/>
                <w14:textFill>
                  <w14:solidFill>
                    <w14:schemeClr w14:val="tx1">
                      <w14:lumMod w14:val="85000"/>
                      <w14:lumOff w14:val="15000"/>
                    </w14:schemeClr>
                  </w14:solidFill>
                </w14:textFill>
              </w:rPr>
            </w:pPr>
          </w:p>
        </w:tc>
        <w:tc>
          <w:tcPr>
            <w:tcW w:w="4779"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Zajezitveni in zdravstveni ukrepi</w:t>
            </w:r>
          </w:p>
        </w:tc>
        <w:tc>
          <w:tcPr>
            <w:tcW w:w="4966"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Priprava na sproščanje ukrepov in gospodarski ukrepi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642" w:type="dxa"/>
            <w:vAlign w:val="center"/>
          </w:tcPr>
          <w:p>
            <w:pPr>
              <w:widowControl w:val="0"/>
              <w:spacing w:line="240" w:lineRule="auto"/>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BH</w:t>
            </w:r>
          </w:p>
        </w:tc>
        <w:tc>
          <w:tcPr>
            <w:tcW w:w="4779" w:type="dxa"/>
          </w:tcPr>
          <w:p>
            <w:pPr>
              <w:widowControl w:val="0"/>
              <w:jc w:val="both"/>
              <w:rPr>
                <w:rFonts w:hint="default" w:ascii="Arial" w:hAnsi="Arial" w:cs="Arial"/>
                <w:b w:val="0"/>
                <w:bCs w:val="0"/>
                <w:color w:val="262626" w:themeColor="text1" w:themeTint="D9"/>
                <w:sz w:val="18"/>
                <w:szCs w:val="18"/>
                <w:u w:val="none"/>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u w:val="none"/>
                <w:lang w:val="en"/>
                <w14:textFill>
                  <w14:solidFill>
                    <w14:schemeClr w14:val="tx1">
                      <w14:lumMod w14:val="85000"/>
                      <w14:lumOff w14:val="15000"/>
                    </w14:schemeClr>
                  </w14:solidFill>
                </w14:textFill>
              </w:rPr>
              <w:t>30.4.: S 1. majem se za tri dni ponovno uvaja prepoved gibanja za starejše od 65 let in mlajše od 18 let ter prepoved gibanja za vse državljane po 20. uri.</w:t>
            </w:r>
          </w:p>
          <w:p>
            <w:pPr>
              <w:widowControl w:val="0"/>
              <w:jc w:val="both"/>
              <w:rPr>
                <w:rFonts w:hint="default" w:ascii="Arial" w:hAnsi="Arial" w:cs="Arial"/>
                <w:b w:val="0"/>
                <w:bCs w:val="0"/>
                <w:color w:val="262626" w:themeColor="text1" w:themeTint="D9"/>
                <w:sz w:val="18"/>
                <w:szCs w:val="18"/>
                <w:u w:val="none"/>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u w:val="none"/>
                <w:lang w:val="en"/>
                <w14:textFill>
                  <w14:solidFill>
                    <w14:schemeClr w14:val="tx1">
                      <w14:lumMod w14:val="85000"/>
                      <w14:lumOff w14:val="15000"/>
                    </w14:schemeClr>
                  </w14:solidFill>
                </w14:textFill>
              </w:rPr>
              <w:t>29.4.: Predsedstvo BiH je dalo Svetu ministrov BiH 24 ur za uskladitev ukrepov za boj proti pandemiji koronavirusa na ravni BiH.</w:t>
            </w:r>
          </w:p>
          <w:p>
            <w:pPr>
              <w:widowControl w:val="0"/>
              <w:jc w:val="both"/>
              <w:rPr>
                <w:rFonts w:hint="default" w:ascii="Arial" w:hAnsi="Arial" w:cs="Arial"/>
                <w:b w:val="0"/>
                <w:bCs w:val="0"/>
                <w:color w:val="262626" w:themeColor="text1" w:themeTint="D9"/>
                <w:sz w:val="18"/>
                <w:szCs w:val="18"/>
                <w:u w:val="none"/>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u w:val="none"/>
                <w:lang w:val="en"/>
                <w14:textFill>
                  <w14:solidFill>
                    <w14:schemeClr w14:val="tx1">
                      <w14:lumMod w14:val="85000"/>
                      <w14:lumOff w14:val="15000"/>
                    </w14:schemeClr>
                  </w14:solidFill>
                </w14:textFill>
              </w:rPr>
              <w:t>ERS: Republiški štab za izredne razmere je sprejel ukrep prepovedi gibanja v času predstoječih praznikov, in sicer v petek, soboto in nedeljo od 12.00 ure do naslednjega dneva do 5.00 ure zjutraj.</w:t>
            </w:r>
          </w:p>
        </w:tc>
        <w:tc>
          <w:tcPr>
            <w:tcW w:w="4966" w:type="dxa"/>
          </w:tcPr>
          <w:p>
            <w:pPr>
              <w:pStyle w:val="9"/>
              <w:widowControl w:val="0"/>
              <w:jc w:val="both"/>
              <w:rPr>
                <w:rFonts w:hint="default" w:ascii="Arial" w:hAnsi="Arial" w:cs="Arial"/>
                <w:color w:val="262626" w:themeColor="text1" w:themeTint="D9"/>
                <w:sz w:val="18"/>
                <w:szCs w:val="18"/>
                <w:u w:val="none"/>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u w:val="none"/>
                <w:lang w:val="en"/>
                <w14:textFill>
                  <w14:solidFill>
                    <w14:schemeClr w14:val="tx1">
                      <w14:lumMod w14:val="85000"/>
                      <w14:lumOff w14:val="15000"/>
                    </w14:schemeClr>
                  </w14:solidFill>
                </w14:textFill>
              </w:rPr>
              <w:t xml:space="preserve">29.4. ERS: </w:t>
            </w:r>
          </w:p>
          <w:p>
            <w:pPr>
              <w:pStyle w:val="9"/>
              <w:widowControl w:val="0"/>
              <w:jc w:val="both"/>
              <w:rPr>
                <w:rFonts w:hint="default" w:ascii="Arial" w:hAnsi="Arial" w:cs="Arial"/>
                <w:color w:val="262626" w:themeColor="text1" w:themeTint="D9"/>
                <w:sz w:val="18"/>
                <w:szCs w:val="18"/>
                <w:u w:val="none"/>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u w:val="none"/>
                <w:lang w:val="en"/>
                <w14:textFill>
                  <w14:solidFill>
                    <w14:schemeClr w14:val="tx1">
                      <w14:lumMod w14:val="85000"/>
                      <w14:lumOff w14:val="15000"/>
                    </w14:schemeClr>
                  </w14:solidFill>
                </w14:textFill>
              </w:rPr>
              <w:t>Minister za kmetijstvo, gozdarstvo in vodno gospodarstvo, B. Pašalić, je predstavnikom kmetijskih združenj v ERS sporočil, da je Vlada ERS kapitalnim invsticijam v kmetijstvu za letos namenila 14 mio KM pomoči (6,7 kmetijska mehanizacija, 3,5 živinoreja, 1 rastlinska proizvodnja, 2,5 predelava kmetijskih pridelkov), kar je dvakrat več kot lani.</w:t>
            </w:r>
          </w:p>
          <w:p>
            <w:pPr>
              <w:pStyle w:val="9"/>
              <w:widowControl w:val="0"/>
              <w:jc w:val="both"/>
              <w:rPr>
                <w:rFonts w:hint="default" w:ascii="Arial" w:hAnsi="Arial" w:cs="Arial"/>
                <w:color w:val="262626" w:themeColor="text1" w:themeTint="D9"/>
                <w:sz w:val="18"/>
                <w:szCs w:val="18"/>
                <w:u w:val="none"/>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u w:val="none"/>
                <w:lang w:val="en"/>
                <w14:textFill>
                  <w14:solidFill>
                    <w14:schemeClr w14:val="tx1">
                      <w14:lumMod w14:val="85000"/>
                      <w14:lumOff w14:val="15000"/>
                    </w14:schemeClr>
                  </w14:solidFill>
                </w14:textFill>
              </w:rPr>
              <w:t>Kmetovalci naj bi pridobili 30-40% povratnih sredstev za vsako kmetijsko investicijo.</w:t>
            </w:r>
          </w:p>
          <w:p>
            <w:pPr>
              <w:pStyle w:val="9"/>
              <w:widowControl w:val="0"/>
              <w:jc w:val="both"/>
              <w:rPr>
                <w:rFonts w:hint="default" w:ascii="Arial" w:hAnsi="Arial" w:cs="Arial"/>
                <w:color w:val="262626" w:themeColor="text1" w:themeTint="D9"/>
                <w:sz w:val="18"/>
                <w:szCs w:val="18"/>
                <w:u w:val="none"/>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u w:val="none"/>
                <w:lang w:val="en"/>
                <w14:textFill>
                  <w14:solidFill>
                    <w14:schemeClr w14:val="tx1">
                      <w14:lumMod w14:val="85000"/>
                      <w14:lumOff w14:val="15000"/>
                    </w14:schemeClr>
                  </w14:solidFill>
                </w14:textFill>
              </w:rPr>
              <w:t>Vlada ERS želi s temi ukrepi spodbuditi domačo kmetijsko proizvodnjo, doseči dolgoročno stabilnost oskrbe z domačimi izdelki ter zadržati nivo investicij v kmetijstvu v pogojih izrednih razmer.</w:t>
            </w:r>
          </w:p>
        </w:tc>
      </w:tr>
    </w:tbl>
    <w:p>
      <w:pPr>
        <w:rPr>
          <w:rFonts w:ascii="Arial" w:hAnsi="Arial" w:cs="Arial"/>
          <w:i/>
          <w:iCs/>
          <w:color w:val="262626" w:themeColor="text1" w:themeTint="D9"/>
          <w:sz w:val="18"/>
          <w:szCs w:val="18"/>
          <w:lang w:val="en"/>
          <w14:textFill>
            <w14:solidFill>
              <w14:schemeClr w14:val="tx1">
                <w14:lumMod w14:val="85000"/>
                <w14:lumOff w14:val="15000"/>
              </w14:schemeClr>
            </w14:solidFill>
          </w14:textFill>
        </w:rPr>
      </w:pPr>
    </w:p>
    <w:tbl>
      <w:tblPr>
        <w:tblStyle w:val="8"/>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779"/>
        <w:gridCol w:w="4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2" w:type="dxa"/>
            <w:vAlign w:val="center"/>
          </w:tcPr>
          <w:p>
            <w:pPr>
              <w:widowControl w:val="0"/>
              <w:spacing w:line="240" w:lineRule="auto"/>
              <w:jc w:val="center"/>
              <w:rPr>
                <w:rFonts w:ascii="Arial" w:hAnsi="Arial" w:cs="Arial"/>
                <w:b/>
                <w:bCs/>
                <w:color w:val="262626" w:themeColor="text1" w:themeTint="D9"/>
                <w:sz w:val="18"/>
                <w:szCs w:val="18"/>
                <w:lang w:val="sl"/>
                <w14:textFill>
                  <w14:solidFill>
                    <w14:schemeClr w14:val="tx1">
                      <w14:lumMod w14:val="85000"/>
                      <w14:lumOff w14:val="15000"/>
                    </w14:schemeClr>
                  </w14:solidFill>
                </w14:textFill>
              </w:rPr>
            </w:pPr>
          </w:p>
        </w:tc>
        <w:tc>
          <w:tcPr>
            <w:tcW w:w="4779"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Zajezitveni in zdravstveni ukrepi</w:t>
            </w:r>
          </w:p>
        </w:tc>
        <w:tc>
          <w:tcPr>
            <w:tcW w:w="4966"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Priprava na sproščanje ukrepov in gospodarski ukrepi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642" w:type="dxa"/>
            <w:vAlign w:val="center"/>
          </w:tcPr>
          <w:p>
            <w:pPr>
              <w:widowControl w:val="0"/>
              <w:spacing w:line="240" w:lineRule="auto"/>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SR</w:t>
            </w:r>
          </w:p>
        </w:tc>
        <w:tc>
          <w:tcPr>
            <w:tcW w:w="4779" w:type="dxa"/>
          </w:tcPr>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Vlada je narodni skupščini Srbije posredovala v obravnavo razglasitev izrednega stanja in vse uredbe z zakonskimi lastnostmi sprejete v tem času. Glasovanje bo predvidoma 30.4.</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18.5. Napovedano odprtje mednarodnega letališča NT Beograd.</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Najavljeno skrajšanje policijske ure preko vikenda (od čet 18h do sobote 5h). Starejši prebivalci bodo lahko v tem času zapustili bivališča. </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Najava prepovedi zbiranja skupin več kakor 5 ljudi.</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Najavljena odprava izrednega stanja do konca naslednjega tedna.</w:t>
            </w:r>
          </w:p>
        </w:tc>
        <w:tc>
          <w:tcPr>
            <w:tcW w:w="4966" w:type="dxa"/>
          </w:tcPr>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tc>
      </w:tr>
    </w:tbl>
    <w:p>
      <w:pPr>
        <w:rPr>
          <w:rFonts w:ascii="Arial" w:hAnsi="Arial" w:cs="Arial"/>
          <w:i/>
          <w:iCs/>
          <w:color w:val="262626" w:themeColor="text1" w:themeTint="D9"/>
          <w:sz w:val="18"/>
          <w:szCs w:val="18"/>
          <w:lang w:val="en"/>
          <w14:textFill>
            <w14:solidFill>
              <w14:schemeClr w14:val="tx1">
                <w14:lumMod w14:val="85000"/>
                <w14:lumOff w14:val="15000"/>
              </w14:schemeClr>
            </w14:solidFill>
          </w14:textFill>
        </w:rPr>
      </w:pPr>
    </w:p>
    <w:tbl>
      <w:tblPr>
        <w:tblStyle w:val="8"/>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779"/>
        <w:gridCol w:w="4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2" w:type="dxa"/>
            <w:vAlign w:val="center"/>
          </w:tcPr>
          <w:p>
            <w:pPr>
              <w:widowControl w:val="0"/>
              <w:spacing w:line="240" w:lineRule="auto"/>
              <w:jc w:val="center"/>
              <w:rPr>
                <w:rFonts w:ascii="Arial" w:hAnsi="Arial" w:cs="Arial"/>
                <w:b/>
                <w:bCs/>
                <w:color w:val="262626" w:themeColor="text1" w:themeTint="D9"/>
                <w:sz w:val="18"/>
                <w:szCs w:val="18"/>
                <w:lang w:val="sl"/>
                <w14:textFill>
                  <w14:solidFill>
                    <w14:schemeClr w14:val="tx1">
                      <w14:lumMod w14:val="85000"/>
                      <w14:lumOff w14:val="15000"/>
                    </w14:schemeClr>
                  </w14:solidFill>
                </w14:textFill>
              </w:rPr>
            </w:pPr>
          </w:p>
        </w:tc>
        <w:tc>
          <w:tcPr>
            <w:tcW w:w="4779"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Zajezitveni in zdravstveni ukrepi</w:t>
            </w:r>
          </w:p>
        </w:tc>
        <w:tc>
          <w:tcPr>
            <w:tcW w:w="4966"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Priprava na sproščanje ukrepov in gospodarski ukrepi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642" w:type="dxa"/>
            <w:vAlign w:val="center"/>
          </w:tcPr>
          <w:p>
            <w:pPr>
              <w:widowControl w:val="0"/>
              <w:spacing w:line="240" w:lineRule="auto"/>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AL</w:t>
            </w:r>
          </w:p>
        </w:tc>
        <w:tc>
          <w:tcPr>
            <w:tcW w:w="4779" w:type="dxa"/>
          </w:tcPr>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29.4.: Ministrica za zdravje je sporočila, da je okrevalo že 90 % zdravstvenega osebja, ki je bilo okuženo s COVID-19. </w:t>
            </w:r>
          </w:p>
        </w:tc>
        <w:tc>
          <w:tcPr>
            <w:tcW w:w="4966" w:type="dxa"/>
          </w:tcPr>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tc>
      </w:tr>
    </w:tbl>
    <w:p>
      <w:pPr>
        <w:rPr>
          <w:rFonts w:ascii="Arial" w:hAnsi="Arial" w:cs="Arial"/>
          <w:i/>
          <w:iCs/>
          <w:color w:val="262626" w:themeColor="text1" w:themeTint="D9"/>
          <w:sz w:val="18"/>
          <w:szCs w:val="18"/>
          <w:lang w:val="en"/>
          <w14:textFill>
            <w14:solidFill>
              <w14:schemeClr w14:val="tx1">
                <w14:lumMod w14:val="85000"/>
                <w14:lumOff w14:val="15000"/>
              </w14:schemeClr>
            </w14:solidFill>
          </w14:textFill>
        </w:rPr>
      </w:pPr>
    </w:p>
    <w:tbl>
      <w:tblPr>
        <w:tblStyle w:val="8"/>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779"/>
        <w:gridCol w:w="4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2" w:type="dxa"/>
            <w:vAlign w:val="center"/>
          </w:tcPr>
          <w:p>
            <w:pPr>
              <w:widowControl w:val="0"/>
              <w:spacing w:line="240" w:lineRule="auto"/>
              <w:jc w:val="center"/>
              <w:rPr>
                <w:rFonts w:ascii="Arial" w:hAnsi="Arial" w:cs="Arial"/>
                <w:b/>
                <w:bCs/>
                <w:color w:val="262626" w:themeColor="text1" w:themeTint="D9"/>
                <w:sz w:val="18"/>
                <w:szCs w:val="18"/>
                <w:lang w:val="sl"/>
                <w14:textFill>
                  <w14:solidFill>
                    <w14:schemeClr w14:val="tx1">
                      <w14:lumMod w14:val="85000"/>
                      <w14:lumOff w14:val="15000"/>
                    </w14:schemeClr>
                  </w14:solidFill>
                </w14:textFill>
              </w:rPr>
            </w:pPr>
          </w:p>
        </w:tc>
        <w:tc>
          <w:tcPr>
            <w:tcW w:w="4779"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Zajezitveni in zdravstveni ukrepi</w:t>
            </w:r>
          </w:p>
        </w:tc>
        <w:tc>
          <w:tcPr>
            <w:tcW w:w="4966"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Priprava na sproščanje ukrepov in gospodarski ukrepi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642" w:type="dxa"/>
            <w:vAlign w:val="center"/>
          </w:tcPr>
          <w:p>
            <w:pPr>
              <w:widowControl w:val="0"/>
              <w:spacing w:line="240" w:lineRule="auto"/>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TR</w:t>
            </w:r>
          </w:p>
        </w:tc>
        <w:tc>
          <w:tcPr>
            <w:tcW w:w="4779" w:type="dxa"/>
          </w:tcPr>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29.4.: Policijska ura, predvidena za čez vikend, se bo začela že v petek, 1. maja.</w:t>
            </w:r>
          </w:p>
        </w:tc>
        <w:tc>
          <w:tcPr>
            <w:tcW w:w="4966" w:type="dxa"/>
          </w:tcPr>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tc>
      </w:tr>
    </w:tbl>
    <w:p>
      <w:pPr>
        <w:rPr>
          <w:rFonts w:ascii="Arial" w:hAnsi="Arial" w:cs="Arial"/>
          <w:i/>
          <w:iCs/>
          <w:color w:val="262626" w:themeColor="text1" w:themeTint="D9"/>
          <w:sz w:val="18"/>
          <w:szCs w:val="18"/>
          <w:lang w:val="en"/>
          <w14:textFill>
            <w14:solidFill>
              <w14:schemeClr w14:val="tx1">
                <w14:lumMod w14:val="85000"/>
                <w14:lumOff w14:val="15000"/>
              </w14:schemeClr>
            </w14:solidFill>
          </w14:textFill>
        </w:rPr>
      </w:pPr>
    </w:p>
    <w:tbl>
      <w:tblPr>
        <w:tblStyle w:val="8"/>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779"/>
        <w:gridCol w:w="4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2" w:type="dxa"/>
            <w:vAlign w:val="center"/>
          </w:tcPr>
          <w:p>
            <w:pPr>
              <w:widowControl w:val="0"/>
              <w:spacing w:line="240" w:lineRule="auto"/>
              <w:jc w:val="center"/>
              <w:rPr>
                <w:rFonts w:ascii="Arial" w:hAnsi="Arial" w:cs="Arial"/>
                <w:b/>
                <w:bCs/>
                <w:color w:val="262626" w:themeColor="text1" w:themeTint="D9"/>
                <w:sz w:val="18"/>
                <w:szCs w:val="18"/>
                <w:lang w:val="sl"/>
                <w14:textFill>
                  <w14:solidFill>
                    <w14:schemeClr w14:val="tx1">
                      <w14:lumMod w14:val="85000"/>
                      <w14:lumOff w14:val="15000"/>
                    </w14:schemeClr>
                  </w14:solidFill>
                </w14:textFill>
              </w:rPr>
            </w:pPr>
          </w:p>
        </w:tc>
        <w:tc>
          <w:tcPr>
            <w:tcW w:w="4779"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Zajezitveni in zdravstveni ukrepi</w:t>
            </w:r>
          </w:p>
        </w:tc>
        <w:tc>
          <w:tcPr>
            <w:tcW w:w="4966"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Priprava na sproščanje ukrepov in gospodarski ukrepi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642" w:type="dxa"/>
            <w:vAlign w:val="center"/>
          </w:tcPr>
          <w:p>
            <w:pPr>
              <w:widowControl w:val="0"/>
              <w:spacing w:line="240" w:lineRule="auto"/>
              <w:jc w:val="center"/>
              <w:rPr>
                <w:rFonts w:ascii="Arial" w:hAnsi="Arial" w:cs="Arial"/>
                <w:color w:val="262626" w:themeColor="text1" w:themeTint="D9"/>
                <w:sz w:val="18"/>
                <w:szCs w:val="18"/>
                <w:lang w:val="en"/>
                <w14:textFill>
                  <w14:solidFill>
                    <w14:schemeClr w14:val="tx1">
                      <w14:lumMod w14:val="85000"/>
                      <w14:lumOff w14:val="15000"/>
                    </w14:schemeClr>
                  </w14:solidFill>
                </w14:textFill>
              </w:rPr>
            </w:pPr>
            <w:r>
              <w:rPr>
                <w:rFonts w:ascii="Arial" w:hAnsi="Arial" w:cs="Arial"/>
                <w:color w:val="262626" w:themeColor="text1" w:themeTint="D9"/>
                <w:sz w:val="18"/>
                <w:szCs w:val="18"/>
                <w:lang w:val="en"/>
                <w14:textFill>
                  <w14:solidFill>
                    <w14:schemeClr w14:val="tx1">
                      <w14:lumMod w14:val="85000"/>
                      <w14:lumOff w14:val="15000"/>
                    </w14:schemeClr>
                  </w14:solidFill>
                </w14:textFill>
              </w:rPr>
              <w:t>RF</w:t>
            </w:r>
          </w:p>
        </w:tc>
        <w:tc>
          <w:tcPr>
            <w:tcW w:w="4779" w:type="dxa"/>
          </w:tcPr>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PRD Putin je v okviru videokonferencnega sestanka z guvernerji ruskih pokrajin izpostavil, da situacija s koronavirusom v RF ostaja zelo napeta, da je drzava uspela upocasniti rast okuzb, vendar se ni presla vrha epidemije.</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Najavil je naslednje odlocitve:</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Obdobje nedelavnih dni je podaljsano do vkljucno 11.5. (6., 7. in 8.5 so razglaseni za nedelavne dni).</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Vladi, Rospotrebnadzoru (ruskemu nadzorniku pravic potrosnikov) in Delovni skupini Zveznega sveta je nalozil, da do 5.5. pripravijo priporocila o parametrih za postopen izhod iz karantene z 12.5.</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Regijski guvernerji obdrzijo svoja posebna pooblastila v boju proti koronavirusu glede odlocanja o olajsanju omejitev po 11.5.</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Vladi je nalozil pripravo novega paketa ukrepov za podporo gospodarstvu in ljudem.</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PRD Putin je vladi nalozil da do 30.4. pripravi nacrt za razvoj cepiva za preprecevanje okuzbe s koronavirusom.</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PRV Mishustin je podpisal ukaz, na podlagi katerega je podaljsana omejitev vstopa za tujce, prvotno dolocena za 1.5. Obdobje se podaljsa dokler se epidemionoske razmere ne izboljsajo.</w:t>
            </w:r>
          </w:p>
        </w:tc>
        <w:tc>
          <w:tcPr>
            <w:tcW w:w="4966" w:type="dxa"/>
          </w:tcPr>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Aeroflot bo za odpovedane lete izdajal vavcerje namesto vracila denarja. Vavcer za prihodnji let za celoten placani znesek neporabljenega prevoza je prirocno in financno privlacno orodje. Poleg vavcerja bo potnik prejel se enkratni popust v visini 15% cene vozovnice za vsak naslednji let, ki ga boplacal z vavcerjem, za vozovnice po najvisji ceni bo potnik prejel bon za 25% popust pri naslednjem letu.</w:t>
            </w:r>
          </w:p>
        </w:tc>
      </w:tr>
    </w:tbl>
    <w:p>
      <w:pPr>
        <w:rPr>
          <w:rFonts w:ascii="Arial" w:hAnsi="Arial" w:cs="Arial"/>
          <w:i/>
          <w:iCs/>
          <w:color w:val="262626" w:themeColor="text1" w:themeTint="D9"/>
          <w:sz w:val="18"/>
          <w:szCs w:val="18"/>
          <w:lang w:val="en"/>
          <w14:textFill>
            <w14:solidFill>
              <w14:schemeClr w14:val="tx1">
                <w14:lumMod w14:val="85000"/>
                <w14:lumOff w14:val="15000"/>
              </w14:schemeClr>
            </w14:solidFill>
          </w14:textFill>
        </w:rPr>
      </w:pPr>
    </w:p>
    <w:tbl>
      <w:tblPr>
        <w:tblStyle w:val="8"/>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779"/>
        <w:gridCol w:w="4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2" w:type="dxa"/>
            <w:vAlign w:val="center"/>
          </w:tcPr>
          <w:p>
            <w:pPr>
              <w:widowControl w:val="0"/>
              <w:spacing w:line="240" w:lineRule="auto"/>
              <w:jc w:val="center"/>
              <w:rPr>
                <w:rFonts w:ascii="Arial" w:hAnsi="Arial" w:cs="Arial"/>
                <w:b/>
                <w:bCs/>
                <w:color w:val="262626" w:themeColor="text1" w:themeTint="D9"/>
                <w:sz w:val="18"/>
                <w:szCs w:val="18"/>
                <w:lang w:val="sl"/>
                <w14:textFill>
                  <w14:solidFill>
                    <w14:schemeClr w14:val="tx1">
                      <w14:lumMod w14:val="85000"/>
                      <w14:lumOff w14:val="15000"/>
                    </w14:schemeClr>
                  </w14:solidFill>
                </w14:textFill>
              </w:rPr>
            </w:pPr>
          </w:p>
        </w:tc>
        <w:tc>
          <w:tcPr>
            <w:tcW w:w="4779"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Zajezitveni in zdravstveni ukrepi</w:t>
            </w:r>
          </w:p>
        </w:tc>
        <w:tc>
          <w:tcPr>
            <w:tcW w:w="4966"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Priprava na sproščanje ukrepov in gospodarski ukrepi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642" w:type="dxa"/>
            <w:vAlign w:val="center"/>
          </w:tcPr>
          <w:p>
            <w:pPr>
              <w:widowControl w:val="0"/>
              <w:spacing w:line="240" w:lineRule="auto"/>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UA</w:t>
            </w:r>
          </w:p>
        </w:tc>
        <w:tc>
          <w:tcPr>
            <w:tcW w:w="4779" w:type="dxa"/>
          </w:tcPr>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Izredno stanje je na predlog Ministrstva za zdravje Ukrajine podaljšano do vključno 11. 5. 2020 na celotnem teritoriju Ukrajine. Od 6. 4. 2020 veljajo za izhod na javne površine poostreni ukrepi (v Kijevu komunalne službe in policija nadzorujejo parke in druge zelene cone, v katerih se ljudje ne smejo več zadrževati).</w:t>
            </w:r>
          </w:p>
        </w:tc>
        <w:tc>
          <w:tcPr>
            <w:tcW w:w="4966" w:type="dxa"/>
          </w:tcPr>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Ukrajina sproščanja ukrepov ne načrtuje pred začetkom maja, postopno sproščanje na področju gospodarstva bo predvidoma maja, na področju javnega prometa in začetka šol pa junija. Po 11. maju bo potekalo postopno sproščanje ukrepov, če bodo za to izpolnjeni pogoji.</w:t>
            </w:r>
          </w:p>
        </w:tc>
      </w:tr>
    </w:tbl>
    <w:p>
      <w:pPr>
        <w:rPr>
          <w:rFonts w:ascii="Arial" w:hAnsi="Arial" w:cs="Arial"/>
          <w:i/>
          <w:iCs/>
          <w:color w:val="262626" w:themeColor="text1" w:themeTint="D9"/>
          <w:sz w:val="18"/>
          <w:szCs w:val="18"/>
          <w:lang w:val="en"/>
          <w14:textFill>
            <w14:solidFill>
              <w14:schemeClr w14:val="tx1">
                <w14:lumMod w14:val="85000"/>
                <w14:lumOff w14:val="15000"/>
              </w14:schemeClr>
            </w14:solidFill>
          </w14:textFill>
        </w:rPr>
      </w:pPr>
    </w:p>
    <w:tbl>
      <w:tblPr>
        <w:tblStyle w:val="8"/>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779"/>
        <w:gridCol w:w="4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2" w:type="dxa"/>
            <w:vAlign w:val="center"/>
          </w:tcPr>
          <w:p>
            <w:pPr>
              <w:widowControl w:val="0"/>
              <w:spacing w:line="240" w:lineRule="auto"/>
              <w:jc w:val="center"/>
              <w:rPr>
                <w:rFonts w:ascii="Arial" w:hAnsi="Arial" w:cs="Arial"/>
                <w:b/>
                <w:bCs/>
                <w:color w:val="262626" w:themeColor="text1" w:themeTint="D9"/>
                <w:sz w:val="18"/>
                <w:szCs w:val="18"/>
                <w:lang w:val="sl"/>
                <w14:textFill>
                  <w14:solidFill>
                    <w14:schemeClr w14:val="tx1">
                      <w14:lumMod w14:val="85000"/>
                      <w14:lumOff w14:val="15000"/>
                    </w14:schemeClr>
                  </w14:solidFill>
                </w14:textFill>
              </w:rPr>
            </w:pPr>
          </w:p>
        </w:tc>
        <w:tc>
          <w:tcPr>
            <w:tcW w:w="4779"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Zajezitveni in zdravstveni ukrepi</w:t>
            </w:r>
          </w:p>
        </w:tc>
        <w:tc>
          <w:tcPr>
            <w:tcW w:w="4966"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Priprava na sproščanje ukrepov in gospodarski ukrepi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642" w:type="dxa"/>
            <w:vAlign w:val="center"/>
          </w:tcPr>
          <w:p>
            <w:pPr>
              <w:widowControl w:val="0"/>
              <w:spacing w:line="240" w:lineRule="auto"/>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IND</w:t>
            </w:r>
          </w:p>
        </w:tc>
        <w:tc>
          <w:tcPr>
            <w:tcW w:w="4779" w:type="dxa"/>
          </w:tcPr>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Zvezna država Punjab je 29.4. prva razglasila podaljšanje popolne zapore od 3. do 17. 5., pri čemer se bodo po 30.4. lahko odprle posamezne registrirane trgovine v manj ogroženih območjih. Podobno napoveduje Z. Bengalija.</w:t>
            </w:r>
          </w:p>
        </w:tc>
        <w:tc>
          <w:tcPr>
            <w:tcW w:w="4966" w:type="dxa"/>
          </w:tcPr>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29.4. Indijska letališka uprava je naročila pripravo letališč in letalskih družb za delno sprostitev (30%) domačega/mednarodnega letalskega prometa, ko bo ukinjena zapora. Ukrepi vključujejo prevoz in dostop do letališč, omejena dosegljivost hrane in pijače, preverjanje zdravja, zagotovitev primernih razdalj na letališčih in letalih.</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tc>
      </w:tr>
    </w:tbl>
    <w:p>
      <w:pPr>
        <w:rPr>
          <w:rFonts w:ascii="Arial" w:hAnsi="Arial" w:cs="Arial"/>
          <w:i/>
          <w:iCs/>
          <w:color w:val="262626" w:themeColor="text1" w:themeTint="D9"/>
          <w:sz w:val="18"/>
          <w:szCs w:val="18"/>
          <w:lang w:val="en"/>
          <w14:textFill>
            <w14:solidFill>
              <w14:schemeClr w14:val="tx1">
                <w14:lumMod w14:val="85000"/>
                <w14:lumOff w14:val="15000"/>
              </w14:schemeClr>
            </w14:solidFill>
          </w14:textFill>
        </w:rPr>
      </w:pPr>
    </w:p>
    <w:tbl>
      <w:tblPr>
        <w:tblStyle w:val="8"/>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779"/>
        <w:gridCol w:w="4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2" w:type="dxa"/>
            <w:vAlign w:val="center"/>
          </w:tcPr>
          <w:p>
            <w:pPr>
              <w:widowControl w:val="0"/>
              <w:spacing w:line="240" w:lineRule="auto"/>
              <w:jc w:val="center"/>
              <w:rPr>
                <w:rFonts w:ascii="Arial" w:hAnsi="Arial" w:cs="Arial"/>
                <w:b/>
                <w:bCs/>
                <w:color w:val="262626" w:themeColor="text1" w:themeTint="D9"/>
                <w:sz w:val="18"/>
                <w:szCs w:val="18"/>
                <w:lang w:val="sl"/>
                <w14:textFill>
                  <w14:solidFill>
                    <w14:schemeClr w14:val="tx1">
                      <w14:lumMod w14:val="85000"/>
                      <w14:lumOff w14:val="15000"/>
                    </w14:schemeClr>
                  </w14:solidFill>
                </w14:textFill>
              </w:rPr>
            </w:pPr>
          </w:p>
        </w:tc>
        <w:tc>
          <w:tcPr>
            <w:tcW w:w="4779"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Zajezitveni in zdravstveni ukrepi</w:t>
            </w:r>
          </w:p>
        </w:tc>
        <w:tc>
          <w:tcPr>
            <w:tcW w:w="4966"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Priprava na sproščanje ukrepov in gospodarski ukrepi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642" w:type="dxa"/>
            <w:vAlign w:val="center"/>
          </w:tcPr>
          <w:p>
            <w:pPr>
              <w:widowControl w:val="0"/>
              <w:spacing w:line="240" w:lineRule="auto"/>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LRK</w:t>
            </w:r>
          </w:p>
        </w:tc>
        <w:tc>
          <w:tcPr>
            <w:tcW w:w="4779" w:type="dxa"/>
          </w:tcPr>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29.4.: Pekinške oblasti napovejo sproščanje kontrolnih ukrepov za vstop v Peking. Po novem vsi, ki prihajajo iz območij z nizkim tveganjem po prihodu v Peking ne bodo primorani iti v dvotedensko državno karanteno. Ukrep seveda ne drži za prišleke iz  tujine in vse tiste, ki prihajajo iz območij s srednjim oz. visokim tveganjem. </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30.4.: Pekinške oblasti spremenijo status diplomatskega distrikta Chaoyang, ki je dva tedna veljalo za edino »visoko tvegano območje« na Kitajskem. </w:t>
            </w:r>
          </w:p>
        </w:tc>
        <w:tc>
          <w:tcPr>
            <w:tcW w:w="4966" w:type="dxa"/>
          </w:tcPr>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tc>
      </w:tr>
    </w:tbl>
    <w:p>
      <w:pPr>
        <w:rPr>
          <w:rFonts w:ascii="Arial" w:hAnsi="Arial" w:cs="Arial"/>
          <w:i/>
          <w:iCs/>
          <w:color w:val="262626" w:themeColor="text1" w:themeTint="D9"/>
          <w:sz w:val="18"/>
          <w:szCs w:val="18"/>
          <w:lang w:val="en"/>
          <w14:textFill>
            <w14:solidFill>
              <w14:schemeClr w14:val="tx1">
                <w14:lumMod w14:val="85000"/>
                <w14:lumOff w14:val="15000"/>
              </w14:schemeClr>
            </w14:solidFill>
          </w14:textFill>
        </w:rPr>
      </w:pPr>
    </w:p>
    <w:tbl>
      <w:tblPr>
        <w:tblStyle w:val="8"/>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779"/>
        <w:gridCol w:w="4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2" w:type="dxa"/>
            <w:vAlign w:val="center"/>
          </w:tcPr>
          <w:p>
            <w:pPr>
              <w:widowControl w:val="0"/>
              <w:spacing w:line="240" w:lineRule="auto"/>
              <w:jc w:val="center"/>
              <w:rPr>
                <w:rFonts w:ascii="Arial" w:hAnsi="Arial" w:cs="Arial"/>
                <w:b/>
                <w:bCs/>
                <w:color w:val="262626" w:themeColor="text1" w:themeTint="D9"/>
                <w:sz w:val="18"/>
                <w:szCs w:val="18"/>
                <w:lang w:val="sl"/>
                <w14:textFill>
                  <w14:solidFill>
                    <w14:schemeClr w14:val="tx1">
                      <w14:lumMod w14:val="85000"/>
                      <w14:lumOff w14:val="15000"/>
                    </w14:schemeClr>
                  </w14:solidFill>
                </w14:textFill>
              </w:rPr>
            </w:pPr>
          </w:p>
        </w:tc>
        <w:tc>
          <w:tcPr>
            <w:tcW w:w="4779"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Zajezitveni in zdravstveni ukrepi</w:t>
            </w:r>
          </w:p>
        </w:tc>
        <w:tc>
          <w:tcPr>
            <w:tcW w:w="4966"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Priprava na sproščanje ukrepov in gospodarski ukrepi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642" w:type="dxa"/>
            <w:vAlign w:val="center"/>
          </w:tcPr>
          <w:p>
            <w:pPr>
              <w:widowControl w:val="0"/>
              <w:spacing w:line="240" w:lineRule="auto"/>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JP</w:t>
            </w:r>
          </w:p>
        </w:tc>
        <w:tc>
          <w:tcPr>
            <w:tcW w:w="4779" w:type="dxa"/>
          </w:tcPr>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V skladu z zadnjimi informacijami japonska vlada načrtuje podaljšanje izrednih razmer še za mesec dni. Na odločitev o podaljšanju v precejšnji meri vpliva grožnja zloma zdravstvenega sistema zaradi povečevanja števila okužb in ocena, da ukrepi socialnega distanciranja še niso prinesli želenih rezultatov. </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Japonska bo tekom tekočega tedna pričela z dostavo zdravila Avigan 38 izmed 70 držav, ki so zaprosile za zdravilo.  </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Od začetka maja dalje bo na Japonskem na razpolago nova aplikacija na mobilnih telefonih, ki bo opozorila osebo, če je bila v stiku z okuženim. Japonska vlada sledi aplikaciji, ki se že uporablja v Singapurju. Uporaba aplikacije ne bo obvezna, jo pa že promovira pristojni minister, ki pravi, da je koristna samo, če jo uporablja veliko ljudi (vsaj ¾ prebivalstva). </w:t>
            </w:r>
          </w:p>
        </w:tc>
        <w:tc>
          <w:tcPr>
            <w:tcW w:w="4966" w:type="dxa"/>
          </w:tcPr>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Globalna prodaja osmih največjih japonskih prodajalcev vozil je v marcu padla za 34,6 %. Prodaja na Japonskem se je zmanjšala za 9 %, v tujini pa za 41,4 %. Ključni japonski proizvajalci vozil so svoje japonske proizvodne obrate, zaradi bistveno zmanjšanega povpraševanja začasno zaprli za obdobje  dveh tednov. </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Vodja Japonskega zdravstvenega združenja Yokokura meni, da bo izvedba olimpijskih in paraolimpijskih iger 2021 v Tokiu ogrožena, v kolikor ne bo pravočasno  razvito učinkovito cepivo za covid-19. Po njegovem prepričanju bo ključnega pomena globalno stanje pandemije covid-19 in ne samo razmere na Japonskem.  </w:t>
            </w:r>
          </w:p>
        </w:tc>
      </w:tr>
    </w:tbl>
    <w:p>
      <w:pPr>
        <w:rPr>
          <w:rFonts w:ascii="Arial" w:hAnsi="Arial" w:cs="Arial"/>
          <w:i/>
          <w:iCs/>
          <w:color w:val="262626" w:themeColor="text1" w:themeTint="D9"/>
          <w:sz w:val="18"/>
          <w:szCs w:val="18"/>
          <w:lang w:val="en"/>
          <w14:textFill>
            <w14:solidFill>
              <w14:schemeClr w14:val="tx1">
                <w14:lumMod w14:val="85000"/>
                <w14:lumOff w14:val="15000"/>
              </w14:schemeClr>
            </w14:solidFill>
          </w14:textFill>
        </w:rPr>
      </w:pPr>
    </w:p>
    <w:tbl>
      <w:tblPr>
        <w:tblStyle w:val="8"/>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779"/>
        <w:gridCol w:w="4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2" w:type="dxa"/>
            <w:vAlign w:val="center"/>
          </w:tcPr>
          <w:p>
            <w:pPr>
              <w:widowControl w:val="0"/>
              <w:spacing w:line="240" w:lineRule="auto"/>
              <w:jc w:val="center"/>
              <w:rPr>
                <w:rFonts w:ascii="Arial" w:hAnsi="Arial" w:cs="Arial"/>
                <w:b/>
                <w:bCs/>
                <w:color w:val="262626" w:themeColor="text1" w:themeTint="D9"/>
                <w:sz w:val="18"/>
                <w:szCs w:val="18"/>
                <w:lang w:val="sl"/>
                <w14:textFill>
                  <w14:solidFill>
                    <w14:schemeClr w14:val="tx1">
                      <w14:lumMod w14:val="85000"/>
                      <w14:lumOff w14:val="15000"/>
                    </w14:schemeClr>
                  </w14:solidFill>
                </w14:textFill>
              </w:rPr>
            </w:pPr>
          </w:p>
        </w:tc>
        <w:tc>
          <w:tcPr>
            <w:tcW w:w="4779"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Zajezitveni in zdravstveni ukrepi</w:t>
            </w:r>
          </w:p>
        </w:tc>
        <w:tc>
          <w:tcPr>
            <w:tcW w:w="4966"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Priprava na sproščanje ukrepov in gospodarski ukrepi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642" w:type="dxa"/>
            <w:vAlign w:val="center"/>
          </w:tcPr>
          <w:p>
            <w:pPr>
              <w:widowControl w:val="0"/>
              <w:spacing w:line="240" w:lineRule="auto"/>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JK</w:t>
            </w:r>
          </w:p>
        </w:tc>
        <w:tc>
          <w:tcPr>
            <w:tcW w:w="4779" w:type="dxa"/>
          </w:tcPr>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29.4.: Južnokorejske zdravstvene oblasti, kljub trendu majhnega števila okužb v zadnjem obdobju, zaradi prihajajočih praznikov ostajajo v visoki  pripravljenosti, saj se bojijo novih množičnih okužb, ki predstavljajo 80 % vseh okužb. Na otoku Jeju med prazniki pričakujejo obisk 180.000 turistov, zaradi česar je bila sprejeta odločitev, da bo osebam s povišano telesno temperaturo prepovedano potovanje na Jeju. Tudi pred ogledom vseh največjih turističnih znamenitosti v državi se bo izvajalo merjenje telesnih temperatur, prav tako je predpisano obvezno nošenje zaščitnih mask. </w:t>
            </w:r>
          </w:p>
        </w:tc>
        <w:tc>
          <w:tcPr>
            <w:tcW w:w="4966" w:type="dxa"/>
          </w:tcPr>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30.4.</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Parlament je 30.4.2020 sprejel drugi rebalans proračuna v vrednosti 9,3 mld EUR, iz katerega bodo krita enkratna izplačila vsem korejskim gospodinjstvom zaradi ekonomskih posledic covid-19. Čeprav je vlada predlagala financiranje pomoči "zgolj" gospodinjstvom z nizkimi prihodki, je opozicija dosegla, da bodo pomoč dobili vsi. Znesek je odvisen od števila družinskih članov, na primer 4 članska družina bo prejela ca. 750 EUR. </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29.4. </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Velika podjetja v Republiki Koreji so v zadnjih dveh mesecih zaradi razmer povezanih s pandemijo covid-19 zmanjšale število zaposlenih za 10,000.</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Minister za finance Republike Koreje Hong Nam-ki je napovedal nov posojilni program za lajšanje posledic covid-19, ki bo namenjen majhnim podjetjem. V skladu z napovedanimi programa bo država šest komercialnih bank spodbudila k dajanju posojil majhnim podjetjem. Vrednost posojilnega programa znaša 2,8 milijard USD. </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Z namenom stimuliranja gospodarske rasti vlada Republike Koreje načrtuje deregulacijo v 10 industrijskih sektorjih, vključno z umetno intelegenco in mobilnostjo.</w:t>
            </w:r>
          </w:p>
        </w:tc>
      </w:tr>
    </w:tbl>
    <w:p>
      <w:pPr>
        <w:rPr>
          <w:rFonts w:ascii="Arial" w:hAnsi="Arial" w:cs="Arial"/>
          <w:i/>
          <w:iCs/>
          <w:color w:val="262626" w:themeColor="text1" w:themeTint="D9"/>
          <w:sz w:val="18"/>
          <w:szCs w:val="18"/>
          <w:lang w:val="en"/>
          <w14:textFill>
            <w14:solidFill>
              <w14:schemeClr w14:val="tx1">
                <w14:lumMod w14:val="85000"/>
                <w14:lumOff w14:val="15000"/>
              </w14:schemeClr>
            </w14:solidFill>
          </w14:textFill>
        </w:rPr>
      </w:pPr>
    </w:p>
    <w:tbl>
      <w:tblPr>
        <w:tblStyle w:val="8"/>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779"/>
        <w:gridCol w:w="4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2" w:type="dxa"/>
            <w:vAlign w:val="center"/>
          </w:tcPr>
          <w:p>
            <w:pPr>
              <w:widowControl w:val="0"/>
              <w:spacing w:line="240" w:lineRule="auto"/>
              <w:jc w:val="center"/>
              <w:rPr>
                <w:rFonts w:ascii="Arial" w:hAnsi="Arial" w:cs="Arial"/>
                <w:b/>
                <w:bCs/>
                <w:color w:val="262626" w:themeColor="text1" w:themeTint="D9"/>
                <w:sz w:val="18"/>
                <w:szCs w:val="18"/>
                <w:lang w:val="sl"/>
                <w14:textFill>
                  <w14:solidFill>
                    <w14:schemeClr w14:val="tx1">
                      <w14:lumMod w14:val="85000"/>
                      <w14:lumOff w14:val="15000"/>
                    </w14:schemeClr>
                  </w14:solidFill>
                </w14:textFill>
              </w:rPr>
            </w:pPr>
          </w:p>
        </w:tc>
        <w:tc>
          <w:tcPr>
            <w:tcW w:w="4779"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Zajezitveni in zdravstveni ukrepi</w:t>
            </w:r>
          </w:p>
        </w:tc>
        <w:tc>
          <w:tcPr>
            <w:tcW w:w="4966"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Priprava na sproščanje ukrepov in gospodarski ukrepi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642" w:type="dxa"/>
            <w:vAlign w:val="center"/>
          </w:tcPr>
          <w:p>
            <w:pPr>
              <w:widowControl w:val="0"/>
              <w:spacing w:line="240" w:lineRule="auto"/>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AU</w:t>
            </w:r>
          </w:p>
        </w:tc>
        <w:tc>
          <w:tcPr>
            <w:tcW w:w="4779" w:type="dxa"/>
          </w:tcPr>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tc>
        <w:tc>
          <w:tcPr>
            <w:tcW w:w="4966" w:type="dxa"/>
          </w:tcPr>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30.4.: Vlada razmišlja, da bi v osnovi za 6 mesecev zastavljen program JobSeeker (dodatna shema za brezposelnost, ki je podvojila običajen dodatek za brezposelnost na 1100 AUD na 14 dni), podaljšala, v kolikor sredstva na voljo (14 mrd AUD) ne bi bila v celoti porabljena.</w:t>
            </w:r>
          </w:p>
        </w:tc>
      </w:tr>
    </w:tbl>
    <w:p>
      <w:pPr>
        <w:rPr>
          <w:rFonts w:ascii="Arial" w:hAnsi="Arial" w:cs="Arial"/>
          <w:i/>
          <w:iCs/>
          <w:color w:val="262626" w:themeColor="text1" w:themeTint="D9"/>
          <w:sz w:val="18"/>
          <w:szCs w:val="18"/>
          <w:lang w:val="en"/>
          <w14:textFill>
            <w14:solidFill>
              <w14:schemeClr w14:val="tx1">
                <w14:lumMod w14:val="85000"/>
                <w14:lumOff w14:val="15000"/>
              </w14:schemeClr>
            </w14:solidFill>
          </w14:textFill>
        </w:rPr>
      </w:pPr>
      <w:bookmarkStart w:id="0" w:name="_GoBack"/>
      <w:bookmarkEnd w:id="0"/>
    </w:p>
    <w:tbl>
      <w:tblPr>
        <w:tblStyle w:val="8"/>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779"/>
        <w:gridCol w:w="4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2" w:type="dxa"/>
            <w:vAlign w:val="center"/>
          </w:tcPr>
          <w:p>
            <w:pPr>
              <w:widowControl w:val="0"/>
              <w:spacing w:line="240" w:lineRule="auto"/>
              <w:jc w:val="center"/>
              <w:rPr>
                <w:rFonts w:ascii="Arial" w:hAnsi="Arial" w:cs="Arial"/>
                <w:b/>
                <w:bCs/>
                <w:color w:val="262626" w:themeColor="text1" w:themeTint="D9"/>
                <w:sz w:val="18"/>
                <w:szCs w:val="18"/>
                <w:lang w:val="sl"/>
                <w14:textFill>
                  <w14:solidFill>
                    <w14:schemeClr w14:val="tx1">
                      <w14:lumMod w14:val="85000"/>
                      <w14:lumOff w14:val="15000"/>
                    </w14:schemeClr>
                  </w14:solidFill>
                </w14:textFill>
              </w:rPr>
            </w:pPr>
          </w:p>
        </w:tc>
        <w:tc>
          <w:tcPr>
            <w:tcW w:w="4779"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Zajezitveni in zdravstveni ukrepi</w:t>
            </w:r>
          </w:p>
        </w:tc>
        <w:tc>
          <w:tcPr>
            <w:tcW w:w="4966"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Priprava na sproščanje ukrepov in gospodarski ukrepi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2" w:type="dxa"/>
            <w:vAlign w:val="center"/>
          </w:tcPr>
          <w:p>
            <w:pPr>
              <w:widowControl w:val="0"/>
              <w:spacing w:line="240" w:lineRule="auto"/>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IRI</w:t>
            </w:r>
          </w:p>
        </w:tc>
        <w:tc>
          <w:tcPr>
            <w:tcW w:w="4779" w:type="dxa"/>
          </w:tcPr>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29.4.: Iran je prejel 13,3 ton težko pošiljko zdravstvene opreme, laboratorijskih diagnostične opreme in farmacevtskih proizvodov iz Francije v vrednosti 1,5 mio EUR. </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29.4.: Katar je Iranu poslal četrto pošiljko 16 ton medicinske opreme.</w:t>
            </w:r>
          </w:p>
        </w:tc>
        <w:tc>
          <w:tcPr>
            <w:tcW w:w="4966" w:type="dxa"/>
          </w:tcPr>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29.4.: Ministrstvo za zdravje je sporočilo, da je v državi 130 laboratorijev, ki lahko v enem dnevu pripravijo rezultate testov COVID-19. Prav tako je obvestilo, da se število pacientov v bolnišnicah vidno zmanjšuje.</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29.4.: PR Rouhani in PR Armenije Pashinyan v telefonskem pogovoru poudarila pomen ponovne normalizacije trgovinske izmenjave in mejnih postopkov. </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29.4.: Vrhovni vodja Khamenei je potrdil odločitev vlade, da začne država ponovno izdajati delnice za socialno pravičnost, namenjene gospodinjstvom z nizkimi dohodki. Imetniki takšnih delnic bodo postali delničarji v nekaterih državnih podjetjih. Pridobitev deležev v omenjenih podjetjih bo nadzoroval Visoki svet teheranske borze, prav tako pa se bo spodbujala vključitev novih podjetij v takšno shemo delnic. Ocenjuje se, da je trenutna vrednost teh delnic okoli 15 mrd USD. </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29.4.: PR Rouhani je državljane pozval, da kljub sproščanju omejevalnih ukrepov in razdelitvi okrožij na beli, rumeni in rdeči status, še naprej upoštevajo preventivne napotke in načela pametnega družbenega distanciranja. </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29.4.: Ministrstvo za izobraževanje je sporočilo, da bodo zaključni izpiti na šolah v Iranu potekali med 6. junijem in 6. julijem. Morebitno odpiranje šol in drugih izobraževalnih ustanov za nadaljevanje pouka bo odvisno od odločitve Nacionalnega odbora za boj proti koronavirusu. </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29.4.: V pogovoru PR Rouhanija s PR Armenije Pashiniyanom sta sogovornika izrazila pripravljenost za krepitev sodelovanja na področju gospodarstva, zlasti glede izvoza iranske zdravstvene opreme v sosednje države. </w:t>
            </w:r>
          </w:p>
        </w:tc>
      </w:tr>
    </w:tbl>
    <w:p>
      <w:pPr>
        <w:rPr>
          <w:rFonts w:ascii="Arial" w:hAnsi="Arial" w:cs="Arial"/>
          <w:i/>
          <w:iCs/>
          <w:color w:val="262626" w:themeColor="text1" w:themeTint="D9"/>
          <w:sz w:val="18"/>
          <w:szCs w:val="18"/>
          <w:lang w:val="en"/>
          <w14:textFill>
            <w14:solidFill>
              <w14:schemeClr w14:val="tx1">
                <w14:lumMod w14:val="85000"/>
                <w14:lumOff w14:val="15000"/>
              </w14:schemeClr>
            </w14:solidFill>
          </w14:textFill>
        </w:rPr>
      </w:pPr>
    </w:p>
    <w:tbl>
      <w:tblPr>
        <w:tblStyle w:val="8"/>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779"/>
        <w:gridCol w:w="4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2" w:type="dxa"/>
            <w:vAlign w:val="center"/>
          </w:tcPr>
          <w:p>
            <w:pPr>
              <w:widowControl w:val="0"/>
              <w:spacing w:line="240" w:lineRule="auto"/>
              <w:jc w:val="center"/>
              <w:rPr>
                <w:rFonts w:ascii="Arial" w:hAnsi="Arial" w:cs="Arial"/>
                <w:b/>
                <w:bCs/>
                <w:color w:val="262626" w:themeColor="text1" w:themeTint="D9"/>
                <w:sz w:val="18"/>
                <w:szCs w:val="18"/>
                <w:lang w:val="sl"/>
                <w14:textFill>
                  <w14:solidFill>
                    <w14:schemeClr w14:val="tx1">
                      <w14:lumMod w14:val="85000"/>
                      <w14:lumOff w14:val="15000"/>
                    </w14:schemeClr>
                  </w14:solidFill>
                </w14:textFill>
              </w:rPr>
            </w:pPr>
          </w:p>
        </w:tc>
        <w:tc>
          <w:tcPr>
            <w:tcW w:w="4779"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Zajezitveni in zdravstveni ukrepi</w:t>
            </w:r>
          </w:p>
        </w:tc>
        <w:tc>
          <w:tcPr>
            <w:tcW w:w="4966"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Priprava na sproščanje ukrepov in gospodarski ukrepi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642" w:type="dxa"/>
            <w:vAlign w:val="center"/>
          </w:tcPr>
          <w:p>
            <w:pPr>
              <w:widowControl w:val="0"/>
              <w:spacing w:line="240" w:lineRule="auto"/>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BR</w:t>
            </w:r>
          </w:p>
        </w:tc>
        <w:tc>
          <w:tcPr>
            <w:tcW w:w="4779" w:type="dxa"/>
          </w:tcPr>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29.4.: Zvezno ministrstvo za zdravstvo je napovedalo dodatnih 497 postelj za oddelke za intenzivno nego v treh zveznih državah. Skupaj je ministrstvo doslej zagotovilo 2.258 dodatnih postelj za bolnike s covid-19, naročilo jih je še 2.000.</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V zvezno državo Amazonas, kjer javni zdravstveni sistem ni zdržal bremena pandemije, so bili napoteni prvi prostovoljci – zdravstveni delavci iz drugih delov države, ki so se sami javili. Skupaj se je za pomoč registriralo več kot milijon zdravstvenih delavcev.</w:t>
            </w:r>
          </w:p>
        </w:tc>
        <w:tc>
          <w:tcPr>
            <w:tcW w:w="4966" w:type="dxa"/>
          </w:tcPr>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29. 4. </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Predsednik Bolsonaro je z odlokom razširil seznam »nujnih« dejavnosti, ki lahko obratujejo kljub omejitvenim ukrepom. Odlok se sklicuje na odločitev vrhovnega sodišča, da so odločitve glede ukrepov za varovanje javnega zdravja v pristojnosti zveznih držav in občin in izrecno navaja, da te pristojnosti ne izključuje. Nove dejavnosti na seznamu izjem so med drugim:</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-Vulkanizerstva</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-Popravljalnice avdio in video naprav</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-Razvoj izdelkov in storitev, vključno z dejavnostmi zagonskih podjetij</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-Trgovine z živili, izdelki za higieno, čiščenje</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-Prodaja, vzdrževanje in tehnična pomoč za avtomobile </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-Izposoja vozil</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Gospodarski minister Guedes je znova poudaril, da se mora Brazilija iz krize izviti z zasebnimi investicijami in ne z velikimi infrastrukturnimi projekti, plačanimi iz javnih sredstev. Država je po njegovem praktično izčrpala svoje vire financiranja.  </w:t>
            </w:r>
          </w:p>
        </w:tc>
      </w:tr>
    </w:tbl>
    <w:p>
      <w:pPr>
        <w:rPr>
          <w:rFonts w:ascii="Arial" w:hAnsi="Arial" w:cs="Arial"/>
          <w:i/>
          <w:iCs/>
          <w:color w:val="262626" w:themeColor="text1" w:themeTint="D9"/>
          <w:sz w:val="18"/>
          <w:szCs w:val="18"/>
          <w:lang w:val="en"/>
          <w14:textFill>
            <w14:solidFill>
              <w14:schemeClr w14:val="tx1">
                <w14:lumMod w14:val="85000"/>
                <w14:lumOff w14:val="15000"/>
              </w14:schemeClr>
            </w14:solidFill>
          </w14:textFill>
        </w:rPr>
      </w:pPr>
    </w:p>
    <w:tbl>
      <w:tblPr>
        <w:tblStyle w:val="8"/>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779"/>
        <w:gridCol w:w="4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2" w:type="dxa"/>
            <w:vAlign w:val="center"/>
          </w:tcPr>
          <w:p>
            <w:pPr>
              <w:widowControl w:val="0"/>
              <w:spacing w:line="240" w:lineRule="auto"/>
              <w:jc w:val="center"/>
              <w:rPr>
                <w:rFonts w:ascii="Arial" w:hAnsi="Arial" w:cs="Arial"/>
                <w:b/>
                <w:bCs/>
                <w:color w:val="262626" w:themeColor="text1" w:themeTint="D9"/>
                <w:sz w:val="18"/>
                <w:szCs w:val="18"/>
                <w:lang w:val="sl"/>
                <w14:textFill>
                  <w14:solidFill>
                    <w14:schemeClr w14:val="tx1">
                      <w14:lumMod w14:val="85000"/>
                      <w14:lumOff w14:val="15000"/>
                    </w14:schemeClr>
                  </w14:solidFill>
                </w14:textFill>
              </w:rPr>
            </w:pPr>
          </w:p>
        </w:tc>
        <w:tc>
          <w:tcPr>
            <w:tcW w:w="4779"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Zajezitveni in zdravstveni ukrepi</w:t>
            </w:r>
          </w:p>
        </w:tc>
        <w:tc>
          <w:tcPr>
            <w:tcW w:w="4966"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Priprava na sproščanje ukrepov in gospodarski ukrepi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642" w:type="dxa"/>
            <w:vAlign w:val="center"/>
          </w:tcPr>
          <w:p>
            <w:pPr>
              <w:widowControl w:val="0"/>
              <w:spacing w:line="240" w:lineRule="auto"/>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AR</w:t>
            </w:r>
          </w:p>
        </w:tc>
        <w:tc>
          <w:tcPr>
            <w:tcW w:w="4779" w:type="dxa"/>
          </w:tcPr>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Argentinskim znanstvenikom je uspelo identificirati genetsko zaporedje 26 sevov koronavirusa kar bo dalo odgovor, kakšne so značilnosti SARS-CoV2, ki kroži v državi in da v prihodnosti preverimo, ali bodo cepiva, razvita v drugih delih sveta, služila v Argentini.</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Odkrit je bil prvi pozitiven primer protiteles proti koronavirusu v hitrih testih, ki se izvajajo na večjih metro in železniških postajah v Buenos Airesu. Moški, ki se je prostovoljno javil za epidemiološko študijo se je pred tremi tedni vrnil iz tujine in ni imel nobenih simptomov.</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Covid-19 in virus denga skupaj predstavljata grozljivo sindemijo in skrb epidemiologov, ki opozarjajo na nevarno sožitje dveh ali več epidemij v neki populaciji, sedaj še sezonske gripe in ošpic med drugimi boleznimi.</w:t>
            </w:r>
          </w:p>
        </w:tc>
        <w:tc>
          <w:tcPr>
            <w:tcW w:w="4966" w:type="dxa"/>
          </w:tcPr>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tc>
      </w:tr>
    </w:tbl>
    <w:p>
      <w:pPr>
        <w:rPr>
          <w:rFonts w:ascii="Arial" w:hAnsi="Arial" w:cs="Arial"/>
          <w:i/>
          <w:iCs/>
          <w:color w:val="262626" w:themeColor="text1" w:themeTint="D9"/>
          <w:sz w:val="18"/>
          <w:szCs w:val="18"/>
          <w:lang w:val="en"/>
          <w14:textFill>
            <w14:solidFill>
              <w14:schemeClr w14:val="tx1">
                <w14:lumMod w14:val="85000"/>
                <w14:lumOff w14:val="15000"/>
              </w14:schemeClr>
            </w14:solidFill>
          </w14:textFill>
        </w:rPr>
      </w:pPr>
    </w:p>
    <w:tbl>
      <w:tblPr>
        <w:tblStyle w:val="8"/>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779"/>
        <w:gridCol w:w="4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2" w:type="dxa"/>
            <w:vAlign w:val="center"/>
          </w:tcPr>
          <w:p>
            <w:pPr>
              <w:widowControl w:val="0"/>
              <w:spacing w:line="240" w:lineRule="auto"/>
              <w:jc w:val="center"/>
              <w:rPr>
                <w:rFonts w:ascii="Arial" w:hAnsi="Arial" w:cs="Arial"/>
                <w:b/>
                <w:bCs/>
                <w:color w:val="262626" w:themeColor="text1" w:themeTint="D9"/>
                <w:sz w:val="18"/>
                <w:szCs w:val="18"/>
                <w:lang w:val="sl"/>
                <w14:textFill>
                  <w14:solidFill>
                    <w14:schemeClr w14:val="tx1">
                      <w14:lumMod w14:val="85000"/>
                      <w14:lumOff w14:val="15000"/>
                    </w14:schemeClr>
                  </w14:solidFill>
                </w14:textFill>
              </w:rPr>
            </w:pPr>
          </w:p>
        </w:tc>
        <w:tc>
          <w:tcPr>
            <w:tcW w:w="4779"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Zajezitveni in zdravstveni ukrepi</w:t>
            </w:r>
          </w:p>
        </w:tc>
        <w:tc>
          <w:tcPr>
            <w:tcW w:w="4966"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Priprava na sproščanje ukrepov in gospodarski ukrepi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642" w:type="dxa"/>
            <w:vAlign w:val="center"/>
          </w:tcPr>
          <w:p>
            <w:pPr>
              <w:widowControl w:val="0"/>
              <w:spacing w:line="240" w:lineRule="auto"/>
              <w:jc w:val="cente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CA</w:t>
            </w:r>
          </w:p>
        </w:tc>
        <w:tc>
          <w:tcPr>
            <w:tcW w:w="4779" w:type="dxa"/>
          </w:tcPr>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tc>
        <w:tc>
          <w:tcPr>
            <w:tcW w:w="4966" w:type="dxa"/>
          </w:tcPr>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29.4.: Tudi provinca Manitoba napoveduje postopno sproščanje ukrepov, po fazah, od 4.5. naprej.</w:t>
            </w:r>
          </w:p>
        </w:tc>
      </w:tr>
    </w:tbl>
    <w:p>
      <w:pPr>
        <w:rPr>
          <w:rFonts w:ascii="Arial" w:hAnsi="Arial" w:cs="Arial"/>
          <w:i/>
          <w:iCs/>
          <w:color w:val="262626" w:themeColor="text1" w:themeTint="D9"/>
          <w:sz w:val="18"/>
          <w:szCs w:val="18"/>
          <w:lang w:val="en"/>
          <w14:textFill>
            <w14:solidFill>
              <w14:schemeClr w14:val="tx1">
                <w14:lumMod w14:val="85000"/>
                <w14:lumOff w14:val="15000"/>
              </w14:schemeClr>
            </w14:solidFill>
          </w14:textFill>
        </w:rPr>
      </w:pPr>
    </w:p>
    <w:tbl>
      <w:tblPr>
        <w:tblStyle w:val="8"/>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779"/>
        <w:gridCol w:w="4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2" w:type="dxa"/>
            <w:vAlign w:val="center"/>
          </w:tcPr>
          <w:p>
            <w:pPr>
              <w:widowControl w:val="0"/>
              <w:spacing w:line="240" w:lineRule="auto"/>
              <w:jc w:val="center"/>
              <w:rPr>
                <w:rFonts w:ascii="Arial" w:hAnsi="Arial" w:cs="Arial"/>
                <w:b/>
                <w:bCs/>
                <w:color w:val="262626" w:themeColor="text1" w:themeTint="D9"/>
                <w:sz w:val="18"/>
                <w:szCs w:val="18"/>
                <w:lang w:val="sl"/>
                <w14:textFill>
                  <w14:solidFill>
                    <w14:schemeClr w14:val="tx1">
                      <w14:lumMod w14:val="85000"/>
                      <w14:lumOff w14:val="15000"/>
                    </w14:schemeClr>
                  </w14:solidFill>
                </w14:textFill>
              </w:rPr>
            </w:pPr>
          </w:p>
        </w:tc>
        <w:tc>
          <w:tcPr>
            <w:tcW w:w="4779"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Zajezitveni in zdravstveni ukrepi</w:t>
            </w:r>
          </w:p>
        </w:tc>
        <w:tc>
          <w:tcPr>
            <w:tcW w:w="4966" w:type="dxa"/>
            <w:vAlign w:val="center"/>
          </w:tcPr>
          <w:p>
            <w:pPr>
              <w:widowControl w:val="0"/>
              <w:spacing w:line="240" w:lineRule="auto"/>
              <w:jc w:val="center"/>
              <w:rPr>
                <w:rFonts w:ascii="Arial" w:hAnsi="Arial" w:cs="Arial"/>
                <w:b/>
                <w:bCs/>
                <w:color w:val="262626" w:themeColor="text1" w:themeTint="D9"/>
                <w:sz w:val="18"/>
                <w:szCs w:val="18"/>
                <w:lang w:val="en"/>
                <w14:textFill>
                  <w14:solidFill>
                    <w14:schemeClr w14:val="tx1">
                      <w14:lumMod w14:val="85000"/>
                      <w14:lumOff w14:val="15000"/>
                    </w14:schemeClr>
                  </w14:solidFill>
                </w14:textFill>
              </w:rPr>
            </w:pPr>
            <w:r>
              <w:rPr>
                <w:rFonts w:ascii="Arial" w:hAnsi="Arial" w:cs="Arial"/>
                <w:b/>
                <w:bCs/>
                <w:color w:val="262626" w:themeColor="text1" w:themeTint="D9"/>
                <w:sz w:val="18"/>
                <w:szCs w:val="18"/>
                <w:lang w:val="en"/>
                <w14:textFill>
                  <w14:solidFill>
                    <w14:schemeClr w14:val="tx1">
                      <w14:lumMod w14:val="85000"/>
                      <w14:lumOff w14:val="15000"/>
                    </w14:schemeClr>
                  </w14:solidFill>
                </w14:textFill>
              </w:rPr>
              <w:t>Priprava na sproščanje ukrepov in gospodarski ukrepi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642" w:type="dxa"/>
            <w:vAlign w:val="center"/>
          </w:tcPr>
          <w:p>
            <w:pPr>
              <w:widowControl w:val="0"/>
              <w:spacing w:line="240" w:lineRule="auto"/>
              <w:jc w:val="center"/>
              <w:rPr>
                <w:rFonts w:ascii="Arial" w:hAnsi="Arial" w:cs="Arial"/>
                <w:color w:val="262626" w:themeColor="text1" w:themeTint="D9"/>
                <w:sz w:val="18"/>
                <w:szCs w:val="18"/>
                <w:lang w:val="en"/>
                <w14:textFill>
                  <w14:solidFill>
                    <w14:schemeClr w14:val="tx1">
                      <w14:lumMod w14:val="85000"/>
                      <w14:lumOff w14:val="15000"/>
                    </w14:schemeClr>
                  </w14:solidFill>
                </w14:textFill>
              </w:rPr>
            </w:pPr>
            <w:r>
              <w:rPr>
                <w:rFonts w:ascii="Arial" w:hAnsi="Arial" w:cs="Arial"/>
                <w:color w:val="262626" w:themeColor="text1" w:themeTint="D9"/>
                <w:sz w:val="18"/>
                <w:szCs w:val="18"/>
                <w:lang w:val="en"/>
                <w14:textFill>
                  <w14:solidFill>
                    <w14:schemeClr w14:val="tx1">
                      <w14:lumMod w14:val="85000"/>
                      <w14:lumOff w14:val="15000"/>
                    </w14:schemeClr>
                  </w14:solidFill>
                </w14:textFill>
              </w:rPr>
              <w:t>ZDA</w:t>
            </w:r>
          </w:p>
        </w:tc>
        <w:tc>
          <w:tcPr>
            <w:tcW w:w="4779" w:type="dxa"/>
          </w:tcPr>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Administracija je danes lansirala iniciativo za pospešen razvoj cepiva zoper COVID-19 »Operation Warp Speed«. Kljub temu, da naj bi bilo potrebnih med 12 do 18 mesecev za razvoj cepiva, se pričakuje, da bo do konca leta 2020 na voljo 100 milijonov doz cepiv. Med drugimi resorji so v proces vključeni tudi FDA in Ministrstvo za zdravje. </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b w:val="0"/>
                <w:bCs w:val="0"/>
                <w:color w:val="262626" w:themeColor="text1" w:themeTint="D9"/>
                <w:sz w:val="18"/>
                <w:szCs w:val="18"/>
                <w:lang w:val="en"/>
                <w14:textFill>
                  <w14:solidFill>
                    <w14:schemeClr w14:val="tx1">
                      <w14:lumMod w14:val="85000"/>
                      <w14:lumOff w14:val="15000"/>
                    </w14:schemeClr>
                  </w14:solidFill>
                </w14:textFill>
              </w:rPr>
              <w:t>PR Trump je sinoči dejal, da administracija razmišlja o bolj strogem preverjanju mednarondih letalskih potnikov v ZDA, vključno s testi za COVID-19. Ali bodo za testiranja odgovorne letalske družbe ali bo za to poskrbela država še ni jasno.</w:t>
            </w:r>
          </w:p>
        </w:tc>
        <w:tc>
          <w:tcPr>
            <w:tcW w:w="4966" w:type="dxa"/>
          </w:tcPr>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Objavljen je bil Defence Production Act, na osnovi katerega morajo obrati za predelavo mesa (klavnice, pakirnice, predelovalnice) ostati odprti. Na ta način bodo zagotovili nemoteno delovanje potrošniške verige, ki je zaradi zaprtja več kot 20 obratov za predelavo mesa začela kazati ranljivost. Po napovedih naj bi se izpad mesa v trgovinah začel čutiti naslednji teden, prizadeti pa so tudi živinorejci, ker živine in perutnine ne morejo oddati. Ob tem morajo upoštevati ustrezne varnostne ukrepe. Ministrstvo za kmetijstvo (USDA) je dobilo pooblastila, da v sodelovanju z ostalimi institucijami definira nacionalne prioritete in alokacijo proizvodov, če je to potrebno.</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Treasury in Small Business Administration bosta za 8 ur zaprla dostop do sredstev za PPP (Paycheck Protection Program) za večje kreditodajalce (vrednost premoženja nad 1 mrd USD), da bi tako zagotovili več sredstev za prava mala podjetja, ki pomoč najbolj potrebujejo. Med prejemniki sredstev v prejšnjem paketu so bile tudi večje verige s hitro prehrano, hotelske verige in celo Los Angles Lakers. Nekatera podjetja so sredstva vrnila, več pa jih je to zavrnilo, čeprav jih je vlada k temu pozvala.</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Federal Reserve bo še naprej podpirala likvidnost za nemoten tok kreditov, tudi z nakupom obveznic Zakladnice, držav in lokalnih skupnosti. Obrestne mere ostajajo nespremenjene – 0 – 0,25 %. </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Navodila za delo v predelovalni dejavnosti v Nevadi, za upoštevanje varnostnih ukrepov. Nevada se je odločila, da se pridruži skupini, v kateri so Kalifornija, Oregon in Washington, glede usklajenega odpiranja gospodarstva.</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 xml:space="preserve">Kolorado: prehod v fazo Safer at Home, objavili so posebno tabelo s podrobnimi  priporočili podjetjem in drugim dejavnostim  za odpiranje – specifična priporočila po sektorjih / dejavnostih (otroško varstvo, izobraževanje, nepremičnine, prodajalne, dejavnosti za osebno nego, pisarne, zdravstvene ustanove in domovi za starejše, rekreacija). </w:t>
            </w: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p>
          <w:p>
            <w:pPr>
              <w:pStyle w:val="9"/>
              <w:widowControl w:val="0"/>
              <w:jc w:val="both"/>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pPr>
            <w:r>
              <w:rPr>
                <w:rFonts w:hint="default" w:ascii="Arial" w:hAnsi="Arial" w:cs="Arial"/>
                <w:color w:val="262626" w:themeColor="text1" w:themeTint="D9"/>
                <w:sz w:val="18"/>
                <w:szCs w:val="18"/>
                <w:lang w:val="en"/>
                <w14:textFill>
                  <w14:solidFill>
                    <w14:schemeClr w14:val="tx1">
                      <w14:lumMod w14:val="85000"/>
                      <w14:lumOff w14:val="15000"/>
                    </w14:schemeClr>
                  </w14:solidFill>
                </w14:textFill>
              </w:rPr>
              <w:t>Texas: postopno odpiranje nekaterih »non essential businesses«, pripravljeno poročilo s podrobnimi priporočili za odpiranje posameznih dejavnosti (restavracije, kinodvorane, muzeji, cerkve, športne dejavnosti na prostem,..).</w:t>
            </w:r>
          </w:p>
        </w:tc>
      </w:tr>
    </w:tbl>
    <w:p>
      <w:pPr>
        <w:rPr>
          <w:rFonts w:ascii="Arial" w:hAnsi="Arial" w:cs="Arial"/>
          <w:i/>
          <w:iCs/>
          <w:color w:val="262626" w:themeColor="text1" w:themeTint="D9"/>
          <w:sz w:val="18"/>
          <w:szCs w:val="18"/>
          <w:lang w:val="en"/>
          <w14:textFill>
            <w14:solidFill>
              <w14:schemeClr w14:val="tx1">
                <w14:lumMod w14:val="85000"/>
                <w14:lumOff w14:val="15000"/>
              </w14:schemeClr>
            </w14:solidFill>
          </w14:textFill>
        </w:rPr>
      </w:pPr>
    </w:p>
    <w:sectPr>
      <w:headerReference r:id="rId5" w:type="default"/>
      <w:footerReference r:id="rId6" w:type="default"/>
      <w:type w:val="continuous"/>
      <w:pgSz w:w="11906" w:h="16838"/>
      <w:pgMar w:top="840" w:right="906" w:bottom="798" w:left="10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00007A87" w:usb1="80000000" w:usb2="00000008"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文泉驿微米黑"/>
    <w:panose1 w:val="00000000000000000000"/>
    <w:charset w:val="86"/>
    <w:family w:val="auto"/>
    <w:pitch w:val="default"/>
    <w:sig w:usb0="00000000" w:usb1="00000000" w:usb2="00000000" w:usb3="00000000" w:csb0="00000000" w:csb1="00000000"/>
  </w:font>
  <w:font w:name="Arial">
    <w:panose1 w:val="020B0604020202020204"/>
    <w:charset w:val="00"/>
    <w:family w:val="swiss"/>
    <w:pitch w:val="default"/>
    <w:sig w:usb0="00007A87" w:usb1="80000000" w:usb2="00000008" w:usb3="00000000" w:csb0="400001FF" w:csb1="FFFF0000"/>
  </w:font>
  <w:font w:name="黑体">
    <w:altName w:val="文泉驿微米黑"/>
    <w:panose1 w:val="02010600030101010101"/>
    <w:charset w:val="00"/>
    <w:family w:val="auto"/>
    <w:pitch w:val="default"/>
    <w:sig w:usb0="00000001" w:usb1="080E0000" w:usb2="00000010" w:usb3="00000000" w:csb0="00040000" w:csb1="00000000"/>
  </w:font>
  <w:font w:name="Courier New">
    <w:panose1 w:val="02070309020205020404"/>
    <w:charset w:val="00"/>
    <w:family w:val="modern"/>
    <w:pitch w:val="default"/>
    <w:sig w:usb0="00007A87" w:usb1="80000000" w:usb2="00000008" w:usb3="00000000" w:csb0="400001FF" w:csb1="FFFF0000"/>
  </w:font>
  <w:font w:name="Wingdings">
    <w:altName w:val="MT Extra"/>
    <w:panose1 w:val="05000000000000000000"/>
    <w:charset w:val="00"/>
    <w:family w:val="auto"/>
    <w:pitch w:val="default"/>
    <w:sig w:usb0="00000000" w:usb1="10000000" w:usb2="00000000" w:usb3="00000000" w:csb0="80000000" w:csb1="00000000"/>
  </w:font>
  <w:font w:name="Calibri">
    <w:altName w:val="Trebuchet MS"/>
    <w:panose1 w:val="020F0502020204030204"/>
    <w:charset w:val="86"/>
    <w:family w:val="swiss"/>
    <w:pitch w:val="default"/>
    <w:sig w:usb0="00000000" w:usb1="00000000" w:usb2="00000001" w:usb3="00000000" w:csb0="0000019F" w:csb1="00000000"/>
  </w:font>
  <w:font w:name="SimSun">
    <w:altName w:val="文泉驿微米黑"/>
    <w:panose1 w:val="02010600030101010101"/>
    <w:charset w:val="86"/>
    <w:family w:val="auto"/>
    <w:pitch w:val="default"/>
    <w:sig w:usb0="00000000" w:usb1="00000000" w:usb2="00000016" w:usb3="00000000" w:csb0="00040001" w:csb1="00000000"/>
  </w:font>
  <w:font w:name="Calibri">
    <w:altName w:val="Trebuchet MS"/>
    <w:panose1 w:val="020F0502020204030204"/>
    <w:charset w:val="86"/>
    <w:family w:val="swiss"/>
    <w:pitch w:val="default"/>
    <w:sig w:usb0="00000000" w:usb1="00000000" w:usb2="00000001" w:usb3="00000000" w:csb0="0000019F" w:csb1="00000000"/>
  </w:font>
  <w:font w:name="Calibri">
    <w:altName w:val="Trebuchet MS"/>
    <w:panose1 w:val="00000000000000000000"/>
    <w:charset w:val="86"/>
    <w:family w:val="auto"/>
    <w:pitch w:val="default"/>
    <w:sig w:usb0="00000000" w:usb1="00000000" w:usb2="00000000" w:usb3="00000000" w:csb0="00000000" w:csb1="00000000"/>
  </w:font>
  <w:font w:name="Trebuchet MS">
    <w:panose1 w:val="020B0603020202020204"/>
    <w:charset w:val="00"/>
    <w:family w:val="auto"/>
    <w:pitch w:val="default"/>
    <w:sig w:usb0="00000287" w:usb1="00000000" w:usb2="00000000" w:usb3="00000000" w:csb0="2000009F" w:csb1="00000000"/>
  </w:font>
  <w:font w:name="DejaVa Sans">
    <w:altName w:val="Gubbi"/>
    <w:panose1 w:val="00000000000000000000"/>
    <w:charset w:val="00"/>
    <w:family w:val="auto"/>
    <w:pitch w:val="default"/>
    <w:sig w:usb0="00000000" w:usb1="00000000" w:usb2="00000000" w:usb3="00000000" w:csb0="00000000" w:csb1="00000000"/>
  </w:font>
  <w:font w:name="Gubbi">
    <w:panose1 w:val="00000400000000000000"/>
    <w:charset w:val="00"/>
    <w:family w:val="auto"/>
    <w:pitch w:val="default"/>
    <w:sig w:usb0="00400000" w:usb1="00000000" w:usb2="00000000" w:usb3="00000000" w:csb0="00000000" w:csb1="00000000"/>
  </w:font>
  <w:font w:name="MT Extra">
    <w:panose1 w:val="05050102010205020202"/>
    <w:charset w:val="00"/>
    <w:family w:val="auto"/>
    <w:pitch w:val="default"/>
    <w:sig w:usb0="80000000" w:usb1="00000000" w:usb2="00000000" w:usb3="00000000" w:csb0="00000000" w:csb1="00000000"/>
  </w:font>
  <w:font w:name="文泉驿微米黑">
    <w:panose1 w:val="020B0606030804020204"/>
    <w:charset w:val="86"/>
    <w:family w:val="auto"/>
    <w:pitch w:val="default"/>
    <w:sig w:usb0="E10002EF" w:usb1="6BDFFCFB" w:usb2="00800036" w:usb3="00000000" w:csb0="603E019F" w:csb1="DFD70000"/>
  </w:font>
  <w:font w:name="Calibri">
    <w:altName w:val="Trebuchet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lang w:val="sl-SI" w:eastAsia="sl-SI"/>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Pr>
                              <w:rFonts w:ascii="Arial" w:hAnsi="Arial" w:cs="Arial"/>
                              <w:sz w:val="16"/>
                              <w:szCs w:val="16"/>
                            </w:rPr>
                            <w:t>14</w:t>
                          </w:r>
                          <w:r>
                            <w:rPr>
                              <w:rFonts w:ascii="Arial" w:hAnsi="Arial" w:cs="Arial"/>
                              <w:sz w:val="16"/>
                              <w:szCs w:val="16"/>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WAAAAZHJzL1BLAQIUABQAAAAIAIdO4kCzSVju0AAAAAUBAAAPAAAAAAAAAAEAIAAA&#10;ADgAAABkcnMvZG93bnJldi54bWxQSwECFAAUAAAACACHTuJA0ybSI/4BAAAGBAAADgAAAAAAAAAB&#10;ACAAAAA1AQAAZHJzL2Uyb0RvYy54bWxQSwUGAAAAAAYABgBZAQAApQUAAAAA&#10;">
              <v:fill on="f" focussize="0,0"/>
              <v:stroke on="f" weight="0.5pt"/>
              <v:imagedata o:title=""/>
              <o:lock v:ext="edit" aspectratio="f"/>
              <v:textbox inset="0mm,0mm,0mm,0mm" style="mso-fit-shape-to-text:t;">
                <w:txbxContent>
                  <w:p>
                    <w:pPr>
                      <w:pStyle w:val="4"/>
                    </w:pP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Pr>
                        <w:rFonts w:ascii="Arial" w:hAnsi="Arial" w:cs="Arial"/>
                        <w:sz w:val="16"/>
                        <w:szCs w:val="16"/>
                      </w:rPr>
                      <w:t>14</w:t>
                    </w:r>
                    <w:r>
                      <w:rPr>
                        <w:rFonts w:ascii="Arial" w:hAnsi="Arial" w:cs="Arial"/>
                        <w:sz w:val="16"/>
                        <w:szCs w:val="16"/>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Arial" w:hAnsi="Arial" w:cs="Arial"/>
        <w:i/>
        <w:iCs/>
        <w:color w:val="404040" w:themeColor="text1" w:themeTint="BF"/>
        <w:sz w:val="16"/>
        <w:szCs w:val="16"/>
        <w:lang w:val="en"/>
        <w14:textFill>
          <w14:solidFill>
            <w14:schemeClr w14:val="tx1">
              <w14:lumMod w14:val="75000"/>
              <w14:lumOff w14:val="25000"/>
            </w14:schemeClr>
          </w14:solidFill>
        </w14:textFill>
      </w:rPr>
    </w:pPr>
    <w:r>
      <w:rPr>
        <w:rFonts w:ascii="Arial" w:hAnsi="Arial" w:cs="Arial"/>
        <w:i/>
        <w:iCs/>
        <w:color w:val="404040" w:themeColor="text1" w:themeTint="BF"/>
        <w:sz w:val="16"/>
        <w:szCs w:val="16"/>
        <w:lang w:val="en"/>
        <w14:textFill>
          <w14:solidFill>
            <w14:schemeClr w14:val="tx1">
              <w14:lumMod w14:val="75000"/>
              <w14:lumOff w14:val="25000"/>
            </w14:schemeClr>
          </w14:solidFill>
        </w14:textFill>
      </w:rPr>
      <w:t xml:space="preserve">Pregled poročanja DKPjev, </w:t>
    </w:r>
    <w:r>
      <w:rPr>
        <w:rFonts w:hint="default" w:ascii="Arial" w:hAnsi="Arial" w:cs="Arial"/>
        <w:i/>
        <w:iCs/>
        <w:color w:val="404040" w:themeColor="text1" w:themeTint="BF"/>
        <w:sz w:val="16"/>
        <w:szCs w:val="16"/>
        <w:lang w:val="en"/>
        <w14:textFill>
          <w14:solidFill>
            <w14:schemeClr w14:val="tx1">
              <w14:lumMod w14:val="75000"/>
              <w14:lumOff w14:val="25000"/>
            </w14:schemeClr>
          </w14:solidFill>
        </w14:textFill>
      </w:rPr>
      <w:t>30</w:t>
    </w:r>
    <w:r>
      <w:rPr>
        <w:rFonts w:ascii="Arial" w:hAnsi="Arial" w:cs="Arial"/>
        <w:i/>
        <w:iCs/>
        <w:color w:val="404040" w:themeColor="text1" w:themeTint="BF"/>
        <w:sz w:val="16"/>
        <w:szCs w:val="16"/>
        <w:lang w:val="en"/>
        <w14:textFill>
          <w14:solidFill>
            <w14:schemeClr w14:val="tx1">
              <w14:lumMod w14:val="75000"/>
              <w14:lumOff w14:val="25000"/>
            </w14:schemeClr>
          </w14:solidFill>
        </w14:textFill>
      </w:rPr>
      <w:t>. 4. 2020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E4E11"/>
    <w:multiLevelType w:val="singleLevel"/>
    <w:tmpl w:val="079E4E11"/>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hideSpellingErrors/>
  <w:documentProtection w:enforcement="0"/>
  <w:defaultTabStop w:val="420"/>
  <w:hyphenationZone w:val="42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F1DA37"/>
    <w:rsid w:val="001F53AC"/>
    <w:rsid w:val="002100DC"/>
    <w:rsid w:val="00741E29"/>
    <w:rsid w:val="008246EE"/>
    <w:rsid w:val="00C53BCE"/>
    <w:rsid w:val="0187DF7F"/>
    <w:rsid w:val="069B5B70"/>
    <w:rsid w:val="07EFD339"/>
    <w:rsid w:val="0B76DE77"/>
    <w:rsid w:val="0EEFF2B6"/>
    <w:rsid w:val="0F3B4691"/>
    <w:rsid w:val="0F7D4F43"/>
    <w:rsid w:val="0F7E987E"/>
    <w:rsid w:val="0FFB6267"/>
    <w:rsid w:val="127DD9E2"/>
    <w:rsid w:val="141D57DA"/>
    <w:rsid w:val="15DFA32B"/>
    <w:rsid w:val="15EB40CD"/>
    <w:rsid w:val="15EF7FB3"/>
    <w:rsid w:val="17DD23EE"/>
    <w:rsid w:val="17DEAE8D"/>
    <w:rsid w:val="17EF178C"/>
    <w:rsid w:val="17EF8069"/>
    <w:rsid w:val="17F73795"/>
    <w:rsid w:val="17FF12FF"/>
    <w:rsid w:val="199F2D3E"/>
    <w:rsid w:val="19BBA323"/>
    <w:rsid w:val="1AEF99FA"/>
    <w:rsid w:val="1AF7FE07"/>
    <w:rsid w:val="1B7EF76B"/>
    <w:rsid w:val="1B7F647B"/>
    <w:rsid w:val="1BF750C0"/>
    <w:rsid w:val="1BF8CC66"/>
    <w:rsid w:val="1BFF5004"/>
    <w:rsid w:val="1BFF6835"/>
    <w:rsid w:val="1D75F59B"/>
    <w:rsid w:val="1D9E5F2C"/>
    <w:rsid w:val="1DEE584E"/>
    <w:rsid w:val="1DF7A5F3"/>
    <w:rsid w:val="1E32B233"/>
    <w:rsid w:val="1E7DDAD0"/>
    <w:rsid w:val="1EAF7CA5"/>
    <w:rsid w:val="1EE0DE69"/>
    <w:rsid w:val="1F3D9001"/>
    <w:rsid w:val="1F77BBF1"/>
    <w:rsid w:val="1F7B49B2"/>
    <w:rsid w:val="1FAFE39B"/>
    <w:rsid w:val="1FBEDF1A"/>
    <w:rsid w:val="1FBF134A"/>
    <w:rsid w:val="1FBF822F"/>
    <w:rsid w:val="1FF61675"/>
    <w:rsid w:val="1FF68109"/>
    <w:rsid w:val="1FFF118B"/>
    <w:rsid w:val="1FFFCCA6"/>
    <w:rsid w:val="23638DBD"/>
    <w:rsid w:val="23F1981E"/>
    <w:rsid w:val="23F70D74"/>
    <w:rsid w:val="24FFEFC3"/>
    <w:rsid w:val="253F37ED"/>
    <w:rsid w:val="25BFFD63"/>
    <w:rsid w:val="267D03F3"/>
    <w:rsid w:val="26C909F3"/>
    <w:rsid w:val="27B782F3"/>
    <w:rsid w:val="27F42CFB"/>
    <w:rsid w:val="27F72577"/>
    <w:rsid w:val="27F9ABE3"/>
    <w:rsid w:val="27FFB183"/>
    <w:rsid w:val="2B7B1B6A"/>
    <w:rsid w:val="2BDFEF9E"/>
    <w:rsid w:val="2BF606A8"/>
    <w:rsid w:val="2BFAB452"/>
    <w:rsid w:val="2BFE15DE"/>
    <w:rsid w:val="2BFF2BAF"/>
    <w:rsid w:val="2C7C1329"/>
    <w:rsid w:val="2DF7CF32"/>
    <w:rsid w:val="2DFBD37A"/>
    <w:rsid w:val="2DFF6A67"/>
    <w:rsid w:val="2E8B9106"/>
    <w:rsid w:val="2EB9FDE6"/>
    <w:rsid w:val="2EDFAE8E"/>
    <w:rsid w:val="2EFBE4B6"/>
    <w:rsid w:val="2F877A6A"/>
    <w:rsid w:val="2FAF0578"/>
    <w:rsid w:val="2FBBFAD7"/>
    <w:rsid w:val="2FF7C435"/>
    <w:rsid w:val="2FFCA0B9"/>
    <w:rsid w:val="2FFF8248"/>
    <w:rsid w:val="318FD8F8"/>
    <w:rsid w:val="319A2030"/>
    <w:rsid w:val="31DEF937"/>
    <w:rsid w:val="31EBE655"/>
    <w:rsid w:val="327B38E4"/>
    <w:rsid w:val="32BDBF9C"/>
    <w:rsid w:val="33AFA1B9"/>
    <w:rsid w:val="33CF30C7"/>
    <w:rsid w:val="33D5B082"/>
    <w:rsid w:val="33E63B4E"/>
    <w:rsid w:val="33FD5D0C"/>
    <w:rsid w:val="34F7BBFA"/>
    <w:rsid w:val="34FE49D1"/>
    <w:rsid w:val="34FFB331"/>
    <w:rsid w:val="35F3BBD3"/>
    <w:rsid w:val="35F6898B"/>
    <w:rsid w:val="35FD0F6E"/>
    <w:rsid w:val="35FE173C"/>
    <w:rsid w:val="366B09A0"/>
    <w:rsid w:val="36D57E00"/>
    <w:rsid w:val="3767A367"/>
    <w:rsid w:val="379D6339"/>
    <w:rsid w:val="37BFEB6A"/>
    <w:rsid w:val="37ED8094"/>
    <w:rsid w:val="37EF8C9C"/>
    <w:rsid w:val="37FD0E0B"/>
    <w:rsid w:val="37FD60C6"/>
    <w:rsid w:val="37FE5312"/>
    <w:rsid w:val="37FFE612"/>
    <w:rsid w:val="39571F7F"/>
    <w:rsid w:val="397BEC8B"/>
    <w:rsid w:val="39F7DD50"/>
    <w:rsid w:val="39FFA1DD"/>
    <w:rsid w:val="3A71943C"/>
    <w:rsid w:val="3AA76E15"/>
    <w:rsid w:val="3AD54F1C"/>
    <w:rsid w:val="3ADFCCBA"/>
    <w:rsid w:val="3AFF42BB"/>
    <w:rsid w:val="3B59BADB"/>
    <w:rsid w:val="3B7AF504"/>
    <w:rsid w:val="3B7FF086"/>
    <w:rsid w:val="3BDBD1D0"/>
    <w:rsid w:val="3BEBB09F"/>
    <w:rsid w:val="3BED878D"/>
    <w:rsid w:val="3BFB0395"/>
    <w:rsid w:val="3BFEB683"/>
    <w:rsid w:val="3C88858C"/>
    <w:rsid w:val="3CBF87AC"/>
    <w:rsid w:val="3CE70947"/>
    <w:rsid w:val="3CFD2757"/>
    <w:rsid w:val="3CFE2B61"/>
    <w:rsid w:val="3CFF48AF"/>
    <w:rsid w:val="3D3DEF90"/>
    <w:rsid w:val="3D5F8942"/>
    <w:rsid w:val="3DDE06E3"/>
    <w:rsid w:val="3DEAEA54"/>
    <w:rsid w:val="3DEF382B"/>
    <w:rsid w:val="3E4B2960"/>
    <w:rsid w:val="3E7B93E6"/>
    <w:rsid w:val="3E7BDC7C"/>
    <w:rsid w:val="3EBDFD82"/>
    <w:rsid w:val="3EBF26CF"/>
    <w:rsid w:val="3EBFC2D9"/>
    <w:rsid w:val="3ED7D468"/>
    <w:rsid w:val="3EEDA8EC"/>
    <w:rsid w:val="3EEFE29B"/>
    <w:rsid w:val="3EF371FD"/>
    <w:rsid w:val="3EF7510A"/>
    <w:rsid w:val="3EFB1F8F"/>
    <w:rsid w:val="3EFF5629"/>
    <w:rsid w:val="3EFF59B6"/>
    <w:rsid w:val="3EFF6814"/>
    <w:rsid w:val="3F33552E"/>
    <w:rsid w:val="3F3FDF36"/>
    <w:rsid w:val="3F4F6464"/>
    <w:rsid w:val="3F5253D4"/>
    <w:rsid w:val="3F59F4D8"/>
    <w:rsid w:val="3F6F32FC"/>
    <w:rsid w:val="3F731ABC"/>
    <w:rsid w:val="3F73DE8F"/>
    <w:rsid w:val="3F754D55"/>
    <w:rsid w:val="3F75CCA2"/>
    <w:rsid w:val="3F7D2743"/>
    <w:rsid w:val="3F7DCE34"/>
    <w:rsid w:val="3F7FBDAB"/>
    <w:rsid w:val="3F9FDA7F"/>
    <w:rsid w:val="3FAFEF93"/>
    <w:rsid w:val="3FB00F3B"/>
    <w:rsid w:val="3FB6241A"/>
    <w:rsid w:val="3FB9C325"/>
    <w:rsid w:val="3FBAB794"/>
    <w:rsid w:val="3FBB0C30"/>
    <w:rsid w:val="3FBBB7A8"/>
    <w:rsid w:val="3FBCD8BC"/>
    <w:rsid w:val="3FBD8E93"/>
    <w:rsid w:val="3FBF9514"/>
    <w:rsid w:val="3FCA2FA5"/>
    <w:rsid w:val="3FCF1001"/>
    <w:rsid w:val="3FDF420E"/>
    <w:rsid w:val="3FE5F5D2"/>
    <w:rsid w:val="3FEBD10A"/>
    <w:rsid w:val="3FEFBC74"/>
    <w:rsid w:val="3FEFFF22"/>
    <w:rsid w:val="3FF3E65D"/>
    <w:rsid w:val="3FF6CB5C"/>
    <w:rsid w:val="3FF7E06C"/>
    <w:rsid w:val="3FFA5553"/>
    <w:rsid w:val="3FFE4DFC"/>
    <w:rsid w:val="3FFFEF40"/>
    <w:rsid w:val="3FFFFFBC"/>
    <w:rsid w:val="420950B4"/>
    <w:rsid w:val="43DC0DFF"/>
    <w:rsid w:val="43FA9480"/>
    <w:rsid w:val="44E60C53"/>
    <w:rsid w:val="44FFD44D"/>
    <w:rsid w:val="45DFD37B"/>
    <w:rsid w:val="45FF4127"/>
    <w:rsid w:val="46ED6363"/>
    <w:rsid w:val="46FD13B2"/>
    <w:rsid w:val="478D3E2D"/>
    <w:rsid w:val="47AB105A"/>
    <w:rsid w:val="47DBF620"/>
    <w:rsid w:val="47FF203E"/>
    <w:rsid w:val="4B778268"/>
    <w:rsid w:val="4BB7F3F6"/>
    <w:rsid w:val="4BBF2836"/>
    <w:rsid w:val="4BDFB051"/>
    <w:rsid w:val="4CAF1397"/>
    <w:rsid w:val="4CFFED20"/>
    <w:rsid w:val="4D31BFF2"/>
    <w:rsid w:val="4DBF5360"/>
    <w:rsid w:val="4DDD6223"/>
    <w:rsid w:val="4DDFA53D"/>
    <w:rsid w:val="4DEB9E7C"/>
    <w:rsid w:val="4DF3AA7A"/>
    <w:rsid w:val="4E4F2273"/>
    <w:rsid w:val="4ECBD944"/>
    <w:rsid w:val="4F4380C8"/>
    <w:rsid w:val="4F6F1C40"/>
    <w:rsid w:val="4F7F6BC0"/>
    <w:rsid w:val="4F8E671F"/>
    <w:rsid w:val="4F8E842B"/>
    <w:rsid w:val="4F9B7A0C"/>
    <w:rsid w:val="4F9E5B75"/>
    <w:rsid w:val="4FCE8C83"/>
    <w:rsid w:val="4FD4BEF9"/>
    <w:rsid w:val="4FDFF291"/>
    <w:rsid w:val="4FF318E8"/>
    <w:rsid w:val="4FFF50EE"/>
    <w:rsid w:val="4FFF962B"/>
    <w:rsid w:val="4FFFB5FA"/>
    <w:rsid w:val="53B1C553"/>
    <w:rsid w:val="53B33995"/>
    <w:rsid w:val="53BF248E"/>
    <w:rsid w:val="53BF997E"/>
    <w:rsid w:val="53DB8D57"/>
    <w:rsid w:val="53F73FC3"/>
    <w:rsid w:val="53FEB77A"/>
    <w:rsid w:val="53FFE35D"/>
    <w:rsid w:val="54DC0363"/>
    <w:rsid w:val="54FD4685"/>
    <w:rsid w:val="55DEB469"/>
    <w:rsid w:val="55FBBCE3"/>
    <w:rsid w:val="562BB0A0"/>
    <w:rsid w:val="569523FA"/>
    <w:rsid w:val="56C3D3BB"/>
    <w:rsid w:val="56F50BDC"/>
    <w:rsid w:val="56F6DAE1"/>
    <w:rsid w:val="56FC3F22"/>
    <w:rsid w:val="571F6EFB"/>
    <w:rsid w:val="57666A76"/>
    <w:rsid w:val="577F96E9"/>
    <w:rsid w:val="57B54AF3"/>
    <w:rsid w:val="57B7A507"/>
    <w:rsid w:val="57B7F97A"/>
    <w:rsid w:val="57BB70DA"/>
    <w:rsid w:val="57BF451F"/>
    <w:rsid w:val="57CB3565"/>
    <w:rsid w:val="57D5C6E6"/>
    <w:rsid w:val="57EFC1CF"/>
    <w:rsid w:val="57FB0BFB"/>
    <w:rsid w:val="57FFD2BF"/>
    <w:rsid w:val="57FFE78E"/>
    <w:rsid w:val="58DA07E1"/>
    <w:rsid w:val="59BFD24D"/>
    <w:rsid w:val="59FF00E4"/>
    <w:rsid w:val="59FFFD63"/>
    <w:rsid w:val="5AC545CF"/>
    <w:rsid w:val="5AF55CAE"/>
    <w:rsid w:val="5AF99229"/>
    <w:rsid w:val="5B31DB0C"/>
    <w:rsid w:val="5B33F821"/>
    <w:rsid w:val="5B7F2AC3"/>
    <w:rsid w:val="5B915FF8"/>
    <w:rsid w:val="5BDEAA7B"/>
    <w:rsid w:val="5BEBB4E6"/>
    <w:rsid w:val="5BEDC1CC"/>
    <w:rsid w:val="5BF1DA37"/>
    <w:rsid w:val="5BF358C3"/>
    <w:rsid w:val="5BFBF5B0"/>
    <w:rsid w:val="5BFCA04C"/>
    <w:rsid w:val="5BFD1CE0"/>
    <w:rsid w:val="5BFDA99A"/>
    <w:rsid w:val="5BFDF711"/>
    <w:rsid w:val="5BFFDD34"/>
    <w:rsid w:val="5C93D9B9"/>
    <w:rsid w:val="5D3F9010"/>
    <w:rsid w:val="5D3FCC1B"/>
    <w:rsid w:val="5D47A294"/>
    <w:rsid w:val="5D5F3BB4"/>
    <w:rsid w:val="5D5FC66C"/>
    <w:rsid w:val="5D6E1F3E"/>
    <w:rsid w:val="5D973860"/>
    <w:rsid w:val="5DBBBED6"/>
    <w:rsid w:val="5DE60F35"/>
    <w:rsid w:val="5DEF16CA"/>
    <w:rsid w:val="5DEF6E0D"/>
    <w:rsid w:val="5DF13105"/>
    <w:rsid w:val="5DF9F122"/>
    <w:rsid w:val="5DFA23B1"/>
    <w:rsid w:val="5DFD93C1"/>
    <w:rsid w:val="5E3D6299"/>
    <w:rsid w:val="5E7AAB41"/>
    <w:rsid w:val="5E7EE9A5"/>
    <w:rsid w:val="5EBBEACA"/>
    <w:rsid w:val="5ED77485"/>
    <w:rsid w:val="5EDFA5A6"/>
    <w:rsid w:val="5EE7B0D7"/>
    <w:rsid w:val="5EEC9829"/>
    <w:rsid w:val="5EF1785A"/>
    <w:rsid w:val="5EF1C426"/>
    <w:rsid w:val="5EFDDAED"/>
    <w:rsid w:val="5EFFEB6A"/>
    <w:rsid w:val="5F3F94BA"/>
    <w:rsid w:val="5F5D9DBA"/>
    <w:rsid w:val="5F5EB99E"/>
    <w:rsid w:val="5F5F14A8"/>
    <w:rsid w:val="5F5FB3E9"/>
    <w:rsid w:val="5F7631BC"/>
    <w:rsid w:val="5F7F7FCF"/>
    <w:rsid w:val="5F7FE4E7"/>
    <w:rsid w:val="5F7FEDE0"/>
    <w:rsid w:val="5F7FF5A7"/>
    <w:rsid w:val="5F8749A3"/>
    <w:rsid w:val="5FA211F4"/>
    <w:rsid w:val="5FA70AF1"/>
    <w:rsid w:val="5FAFB956"/>
    <w:rsid w:val="5FBF4F37"/>
    <w:rsid w:val="5FBFE341"/>
    <w:rsid w:val="5FC5C3DA"/>
    <w:rsid w:val="5FD537C9"/>
    <w:rsid w:val="5FDA39BE"/>
    <w:rsid w:val="5FDFEBDD"/>
    <w:rsid w:val="5FE52073"/>
    <w:rsid w:val="5FEDE1D5"/>
    <w:rsid w:val="5FEDFF5B"/>
    <w:rsid w:val="5FF17461"/>
    <w:rsid w:val="5FF728B4"/>
    <w:rsid w:val="5FFAC049"/>
    <w:rsid w:val="5FFCD3AF"/>
    <w:rsid w:val="5FFD3FBE"/>
    <w:rsid w:val="5FFD824D"/>
    <w:rsid w:val="5FFF416B"/>
    <w:rsid w:val="5FFF6119"/>
    <w:rsid w:val="5FFF6953"/>
    <w:rsid w:val="5FFFE4D2"/>
    <w:rsid w:val="617FBE2C"/>
    <w:rsid w:val="61DB2C65"/>
    <w:rsid w:val="61FE997C"/>
    <w:rsid w:val="62DF38FF"/>
    <w:rsid w:val="62EF8E1D"/>
    <w:rsid w:val="63F92677"/>
    <w:rsid w:val="63FA48BD"/>
    <w:rsid w:val="65D90E53"/>
    <w:rsid w:val="65FB8CB4"/>
    <w:rsid w:val="65FE6C46"/>
    <w:rsid w:val="65FFCF64"/>
    <w:rsid w:val="667559D3"/>
    <w:rsid w:val="66BF51E6"/>
    <w:rsid w:val="66CBFB88"/>
    <w:rsid w:val="66EFFF06"/>
    <w:rsid w:val="66F615FF"/>
    <w:rsid w:val="676A58A2"/>
    <w:rsid w:val="676FA5D2"/>
    <w:rsid w:val="677F7A7C"/>
    <w:rsid w:val="67B147BC"/>
    <w:rsid w:val="67EFA71A"/>
    <w:rsid w:val="67F75E2B"/>
    <w:rsid w:val="67FE27E0"/>
    <w:rsid w:val="67FF32FC"/>
    <w:rsid w:val="67FF9FD2"/>
    <w:rsid w:val="67FFBF87"/>
    <w:rsid w:val="691FE810"/>
    <w:rsid w:val="697537D5"/>
    <w:rsid w:val="69B9FB9C"/>
    <w:rsid w:val="69D54E2B"/>
    <w:rsid w:val="69FDE298"/>
    <w:rsid w:val="6A071638"/>
    <w:rsid w:val="6A081A15"/>
    <w:rsid w:val="6A6BDF5E"/>
    <w:rsid w:val="6ABF466F"/>
    <w:rsid w:val="6AD69E2D"/>
    <w:rsid w:val="6AF7FF59"/>
    <w:rsid w:val="6B1FA569"/>
    <w:rsid w:val="6B54070C"/>
    <w:rsid w:val="6B772AF7"/>
    <w:rsid w:val="6B9F608F"/>
    <w:rsid w:val="6BA74BA7"/>
    <w:rsid w:val="6BB91667"/>
    <w:rsid w:val="6BBC11ED"/>
    <w:rsid w:val="6BCB66EB"/>
    <w:rsid w:val="6BED405B"/>
    <w:rsid w:val="6BEEEF11"/>
    <w:rsid w:val="6BF12D61"/>
    <w:rsid w:val="6BF6FBED"/>
    <w:rsid w:val="6BFE66E6"/>
    <w:rsid w:val="6BFE759F"/>
    <w:rsid w:val="6CEE2D90"/>
    <w:rsid w:val="6CEF7A53"/>
    <w:rsid w:val="6D14BCC8"/>
    <w:rsid w:val="6D3E23AE"/>
    <w:rsid w:val="6D7B5ABC"/>
    <w:rsid w:val="6D9E67CF"/>
    <w:rsid w:val="6DA7A404"/>
    <w:rsid w:val="6DDF35B4"/>
    <w:rsid w:val="6DEFAA01"/>
    <w:rsid w:val="6DF3ACE1"/>
    <w:rsid w:val="6E431C1A"/>
    <w:rsid w:val="6E47BF6B"/>
    <w:rsid w:val="6E567FC6"/>
    <w:rsid w:val="6E5BA008"/>
    <w:rsid w:val="6E5F603E"/>
    <w:rsid w:val="6E8FE328"/>
    <w:rsid w:val="6E9741AF"/>
    <w:rsid w:val="6EAEDDEA"/>
    <w:rsid w:val="6EB78522"/>
    <w:rsid w:val="6EBAEDD8"/>
    <w:rsid w:val="6EF9ED5B"/>
    <w:rsid w:val="6EFA5B4C"/>
    <w:rsid w:val="6EFEAC46"/>
    <w:rsid w:val="6EFF2E4E"/>
    <w:rsid w:val="6F1FF217"/>
    <w:rsid w:val="6F2F81AB"/>
    <w:rsid w:val="6F4FA413"/>
    <w:rsid w:val="6F6F71F2"/>
    <w:rsid w:val="6F7D1004"/>
    <w:rsid w:val="6F7E5C1E"/>
    <w:rsid w:val="6F97EF4E"/>
    <w:rsid w:val="6FADBB8B"/>
    <w:rsid w:val="6FB5C74A"/>
    <w:rsid w:val="6FBFC120"/>
    <w:rsid w:val="6FC33D95"/>
    <w:rsid w:val="6FCE0FF9"/>
    <w:rsid w:val="6FCF82DA"/>
    <w:rsid w:val="6FD5C6C0"/>
    <w:rsid w:val="6FDD6554"/>
    <w:rsid w:val="6FDFA1BC"/>
    <w:rsid w:val="6FDFB554"/>
    <w:rsid w:val="6FDFC73E"/>
    <w:rsid w:val="6FE71729"/>
    <w:rsid w:val="6FEAAB48"/>
    <w:rsid w:val="6FEFD89A"/>
    <w:rsid w:val="6FF2E998"/>
    <w:rsid w:val="6FF7087A"/>
    <w:rsid w:val="6FF72EF7"/>
    <w:rsid w:val="6FFAC7F3"/>
    <w:rsid w:val="6FFB352E"/>
    <w:rsid w:val="6FFD4A83"/>
    <w:rsid w:val="6FFDCB2B"/>
    <w:rsid w:val="6FFEE131"/>
    <w:rsid w:val="6FFEE52A"/>
    <w:rsid w:val="6FFF6BEC"/>
    <w:rsid w:val="6FFF83B0"/>
    <w:rsid w:val="6FFFA38D"/>
    <w:rsid w:val="719B240E"/>
    <w:rsid w:val="71DA5E65"/>
    <w:rsid w:val="71F80E72"/>
    <w:rsid w:val="72BA751F"/>
    <w:rsid w:val="737DDBC6"/>
    <w:rsid w:val="73995364"/>
    <w:rsid w:val="739E4896"/>
    <w:rsid w:val="73CF9347"/>
    <w:rsid w:val="73DF93D0"/>
    <w:rsid w:val="73E82463"/>
    <w:rsid w:val="73FF84E4"/>
    <w:rsid w:val="73FFB4C2"/>
    <w:rsid w:val="74BAA087"/>
    <w:rsid w:val="74F305E3"/>
    <w:rsid w:val="7552BD9B"/>
    <w:rsid w:val="756B2749"/>
    <w:rsid w:val="7577E09D"/>
    <w:rsid w:val="757F2440"/>
    <w:rsid w:val="75A30D91"/>
    <w:rsid w:val="75AF3DD2"/>
    <w:rsid w:val="75BFA2E3"/>
    <w:rsid w:val="75D68FE6"/>
    <w:rsid w:val="75DCB057"/>
    <w:rsid w:val="75E7EE6F"/>
    <w:rsid w:val="75F5A77C"/>
    <w:rsid w:val="75F7633B"/>
    <w:rsid w:val="75F7B7B9"/>
    <w:rsid w:val="75FB841E"/>
    <w:rsid w:val="75FF1555"/>
    <w:rsid w:val="764FF797"/>
    <w:rsid w:val="765786DA"/>
    <w:rsid w:val="7657EECD"/>
    <w:rsid w:val="766AFF5B"/>
    <w:rsid w:val="76736DA4"/>
    <w:rsid w:val="76742E5B"/>
    <w:rsid w:val="767BD55D"/>
    <w:rsid w:val="767C5006"/>
    <w:rsid w:val="76C723AE"/>
    <w:rsid w:val="76CF7595"/>
    <w:rsid w:val="76CFD7B5"/>
    <w:rsid w:val="76DF76D9"/>
    <w:rsid w:val="76ED62DF"/>
    <w:rsid w:val="76EF7AEB"/>
    <w:rsid w:val="76F2F3B7"/>
    <w:rsid w:val="76F626DF"/>
    <w:rsid w:val="76FB408B"/>
    <w:rsid w:val="76FBF174"/>
    <w:rsid w:val="76FD348B"/>
    <w:rsid w:val="76FDACEF"/>
    <w:rsid w:val="77283CFB"/>
    <w:rsid w:val="773947D4"/>
    <w:rsid w:val="773B3EBB"/>
    <w:rsid w:val="773C98E1"/>
    <w:rsid w:val="773F550E"/>
    <w:rsid w:val="773FD3FC"/>
    <w:rsid w:val="773FD7FF"/>
    <w:rsid w:val="774B091C"/>
    <w:rsid w:val="774F92F4"/>
    <w:rsid w:val="775DD73A"/>
    <w:rsid w:val="775FE2E3"/>
    <w:rsid w:val="777FFE60"/>
    <w:rsid w:val="779DC411"/>
    <w:rsid w:val="77BF9198"/>
    <w:rsid w:val="77CF23E9"/>
    <w:rsid w:val="77D6D8EB"/>
    <w:rsid w:val="77D74404"/>
    <w:rsid w:val="77DB4A06"/>
    <w:rsid w:val="77DDAE2F"/>
    <w:rsid w:val="77DF46B6"/>
    <w:rsid w:val="77DF64E3"/>
    <w:rsid w:val="77E6A843"/>
    <w:rsid w:val="77E70886"/>
    <w:rsid w:val="77EAFDA6"/>
    <w:rsid w:val="77EBBDC0"/>
    <w:rsid w:val="77EEF497"/>
    <w:rsid w:val="77EF56E3"/>
    <w:rsid w:val="77EFA815"/>
    <w:rsid w:val="77F4ADFB"/>
    <w:rsid w:val="77F785F6"/>
    <w:rsid w:val="77FC6D31"/>
    <w:rsid w:val="77FD71E9"/>
    <w:rsid w:val="77FF8AE8"/>
    <w:rsid w:val="77FFDC06"/>
    <w:rsid w:val="77FFEA58"/>
    <w:rsid w:val="783F46E5"/>
    <w:rsid w:val="787FA75B"/>
    <w:rsid w:val="78BEE7A3"/>
    <w:rsid w:val="78BF0FD0"/>
    <w:rsid w:val="78BFEB0B"/>
    <w:rsid w:val="78FB9BEE"/>
    <w:rsid w:val="791F58C1"/>
    <w:rsid w:val="795CC315"/>
    <w:rsid w:val="79672304"/>
    <w:rsid w:val="79E93849"/>
    <w:rsid w:val="79EA6554"/>
    <w:rsid w:val="79EB1698"/>
    <w:rsid w:val="79FB2507"/>
    <w:rsid w:val="79FE0BF1"/>
    <w:rsid w:val="79FF39CC"/>
    <w:rsid w:val="7A0319B8"/>
    <w:rsid w:val="7A35678A"/>
    <w:rsid w:val="7A77B358"/>
    <w:rsid w:val="7ABC41BD"/>
    <w:rsid w:val="7AD6AC83"/>
    <w:rsid w:val="7AEFE118"/>
    <w:rsid w:val="7AF892A7"/>
    <w:rsid w:val="7AF955D1"/>
    <w:rsid w:val="7AFE3D8B"/>
    <w:rsid w:val="7AFFF9B8"/>
    <w:rsid w:val="7B0FD38E"/>
    <w:rsid w:val="7B7A7470"/>
    <w:rsid w:val="7B7F2A84"/>
    <w:rsid w:val="7B945927"/>
    <w:rsid w:val="7B9C8A35"/>
    <w:rsid w:val="7BA6E349"/>
    <w:rsid w:val="7BAEBA85"/>
    <w:rsid w:val="7BAF5C1B"/>
    <w:rsid w:val="7BBD8213"/>
    <w:rsid w:val="7BCB49E4"/>
    <w:rsid w:val="7BCF1D9A"/>
    <w:rsid w:val="7BDF2BED"/>
    <w:rsid w:val="7BDF50BC"/>
    <w:rsid w:val="7BDF8A75"/>
    <w:rsid w:val="7BE7214C"/>
    <w:rsid w:val="7BED4BBE"/>
    <w:rsid w:val="7BEF53E3"/>
    <w:rsid w:val="7BEFA95A"/>
    <w:rsid w:val="7BF551E0"/>
    <w:rsid w:val="7BF7637D"/>
    <w:rsid w:val="7BF77D38"/>
    <w:rsid w:val="7BF7E5AD"/>
    <w:rsid w:val="7BFB3863"/>
    <w:rsid w:val="7BFBDD16"/>
    <w:rsid w:val="7BFF15C9"/>
    <w:rsid w:val="7BFFB422"/>
    <w:rsid w:val="7BFFE3EE"/>
    <w:rsid w:val="7C369BB9"/>
    <w:rsid w:val="7C6DD066"/>
    <w:rsid w:val="7C9F6957"/>
    <w:rsid w:val="7CDE6077"/>
    <w:rsid w:val="7CF75B33"/>
    <w:rsid w:val="7CF7DA5E"/>
    <w:rsid w:val="7CFB8541"/>
    <w:rsid w:val="7CFB887B"/>
    <w:rsid w:val="7CFFAAFF"/>
    <w:rsid w:val="7CFFCFB2"/>
    <w:rsid w:val="7D5DB0F7"/>
    <w:rsid w:val="7D6FA681"/>
    <w:rsid w:val="7D6FF4F6"/>
    <w:rsid w:val="7D779CC0"/>
    <w:rsid w:val="7D77DC6F"/>
    <w:rsid w:val="7D7DF46B"/>
    <w:rsid w:val="7D7FA47D"/>
    <w:rsid w:val="7D9D552F"/>
    <w:rsid w:val="7DB71998"/>
    <w:rsid w:val="7DBB0545"/>
    <w:rsid w:val="7DBC2A9E"/>
    <w:rsid w:val="7DBDFAA3"/>
    <w:rsid w:val="7DBE74F2"/>
    <w:rsid w:val="7DD3044D"/>
    <w:rsid w:val="7DE260FE"/>
    <w:rsid w:val="7DE32711"/>
    <w:rsid w:val="7DEE4307"/>
    <w:rsid w:val="7DEF93B2"/>
    <w:rsid w:val="7DFB41C0"/>
    <w:rsid w:val="7DFB53CB"/>
    <w:rsid w:val="7DFB9149"/>
    <w:rsid w:val="7DFB9EC1"/>
    <w:rsid w:val="7DFE66C9"/>
    <w:rsid w:val="7DFE9D76"/>
    <w:rsid w:val="7DFF29B6"/>
    <w:rsid w:val="7DFF370F"/>
    <w:rsid w:val="7DFF4506"/>
    <w:rsid w:val="7DFF4DFB"/>
    <w:rsid w:val="7DFF636A"/>
    <w:rsid w:val="7E3B9447"/>
    <w:rsid w:val="7E3FE46D"/>
    <w:rsid w:val="7E5D384E"/>
    <w:rsid w:val="7E5FE4BA"/>
    <w:rsid w:val="7E6BFA79"/>
    <w:rsid w:val="7E7780AD"/>
    <w:rsid w:val="7E77A70A"/>
    <w:rsid w:val="7E7B14C1"/>
    <w:rsid w:val="7E7F13B1"/>
    <w:rsid w:val="7E8C7F38"/>
    <w:rsid w:val="7EA7C10F"/>
    <w:rsid w:val="7EBF63A3"/>
    <w:rsid w:val="7EC56F1D"/>
    <w:rsid w:val="7EC7061E"/>
    <w:rsid w:val="7ED5455F"/>
    <w:rsid w:val="7ED7CC7E"/>
    <w:rsid w:val="7EDF5E83"/>
    <w:rsid w:val="7EDF8934"/>
    <w:rsid w:val="7EE7F7BC"/>
    <w:rsid w:val="7EF13341"/>
    <w:rsid w:val="7EF73CC5"/>
    <w:rsid w:val="7EFA691E"/>
    <w:rsid w:val="7EFBB6D5"/>
    <w:rsid w:val="7EFE2360"/>
    <w:rsid w:val="7EFE3C23"/>
    <w:rsid w:val="7EFF7A1B"/>
    <w:rsid w:val="7EFFCB59"/>
    <w:rsid w:val="7EFFE925"/>
    <w:rsid w:val="7F0B1DAF"/>
    <w:rsid w:val="7F175AE3"/>
    <w:rsid w:val="7F1FF78B"/>
    <w:rsid w:val="7F3F1AE7"/>
    <w:rsid w:val="7F4A2B51"/>
    <w:rsid w:val="7F4DB090"/>
    <w:rsid w:val="7F4E24A4"/>
    <w:rsid w:val="7F53C3CB"/>
    <w:rsid w:val="7F5B413E"/>
    <w:rsid w:val="7F5D8A15"/>
    <w:rsid w:val="7F66E455"/>
    <w:rsid w:val="7F6A0CB8"/>
    <w:rsid w:val="7F6B921F"/>
    <w:rsid w:val="7F6F97C5"/>
    <w:rsid w:val="7F7335AA"/>
    <w:rsid w:val="7F75C5A0"/>
    <w:rsid w:val="7F770B36"/>
    <w:rsid w:val="7F788FA2"/>
    <w:rsid w:val="7F7BB872"/>
    <w:rsid w:val="7F7E8801"/>
    <w:rsid w:val="7F7F3DFC"/>
    <w:rsid w:val="7F7F6DE4"/>
    <w:rsid w:val="7F9DD796"/>
    <w:rsid w:val="7FACFB69"/>
    <w:rsid w:val="7FAD4A5E"/>
    <w:rsid w:val="7FAD734F"/>
    <w:rsid w:val="7FAD7F10"/>
    <w:rsid w:val="7FB76CBA"/>
    <w:rsid w:val="7FB90E1A"/>
    <w:rsid w:val="7FBB9BB5"/>
    <w:rsid w:val="7FBD76CA"/>
    <w:rsid w:val="7FBDA0D5"/>
    <w:rsid w:val="7FBDD8BD"/>
    <w:rsid w:val="7FBF248B"/>
    <w:rsid w:val="7FBF5162"/>
    <w:rsid w:val="7FBFECB1"/>
    <w:rsid w:val="7FCF1F29"/>
    <w:rsid w:val="7FD65068"/>
    <w:rsid w:val="7FD73959"/>
    <w:rsid w:val="7FD73BD8"/>
    <w:rsid w:val="7FD794B7"/>
    <w:rsid w:val="7FD9756F"/>
    <w:rsid w:val="7FDB01BF"/>
    <w:rsid w:val="7FDD4F58"/>
    <w:rsid w:val="7FDE9E57"/>
    <w:rsid w:val="7FDF59E1"/>
    <w:rsid w:val="7FDFDEF3"/>
    <w:rsid w:val="7FE3EF43"/>
    <w:rsid w:val="7FE9246F"/>
    <w:rsid w:val="7FE9504D"/>
    <w:rsid w:val="7FEB3F32"/>
    <w:rsid w:val="7FEBB443"/>
    <w:rsid w:val="7FEF01EA"/>
    <w:rsid w:val="7FEF09C7"/>
    <w:rsid w:val="7FEF3A17"/>
    <w:rsid w:val="7FEF6224"/>
    <w:rsid w:val="7FEF7710"/>
    <w:rsid w:val="7FEFA46E"/>
    <w:rsid w:val="7FEFB613"/>
    <w:rsid w:val="7FEFD3FF"/>
    <w:rsid w:val="7FF301EF"/>
    <w:rsid w:val="7FF3C9F0"/>
    <w:rsid w:val="7FF3FFF6"/>
    <w:rsid w:val="7FF5C103"/>
    <w:rsid w:val="7FF70048"/>
    <w:rsid w:val="7FF9FCC2"/>
    <w:rsid w:val="7FFB10C5"/>
    <w:rsid w:val="7FFB3D60"/>
    <w:rsid w:val="7FFB9026"/>
    <w:rsid w:val="7FFD6C17"/>
    <w:rsid w:val="7FFE1AB9"/>
    <w:rsid w:val="7FFE40F7"/>
    <w:rsid w:val="7FFE74D1"/>
    <w:rsid w:val="7FFF427F"/>
    <w:rsid w:val="7FFF6042"/>
    <w:rsid w:val="7FFF7E0C"/>
    <w:rsid w:val="7FFFB470"/>
    <w:rsid w:val="7FFFD28F"/>
    <w:rsid w:val="7FFFD81E"/>
    <w:rsid w:val="7FFFDB24"/>
    <w:rsid w:val="7FFFF1E4"/>
    <w:rsid w:val="82BBD6BF"/>
    <w:rsid w:val="85FDC7BC"/>
    <w:rsid w:val="87EFE60A"/>
    <w:rsid w:val="8B8EC5BC"/>
    <w:rsid w:val="8DFDD054"/>
    <w:rsid w:val="8EBDEEDB"/>
    <w:rsid w:val="8FDDD3E2"/>
    <w:rsid w:val="93FD4B46"/>
    <w:rsid w:val="96DF1B79"/>
    <w:rsid w:val="96F77126"/>
    <w:rsid w:val="97BB6746"/>
    <w:rsid w:val="97E1A2A1"/>
    <w:rsid w:val="97EB4584"/>
    <w:rsid w:val="97EBEBCE"/>
    <w:rsid w:val="98FBF53D"/>
    <w:rsid w:val="99CD17BB"/>
    <w:rsid w:val="9A6A6152"/>
    <w:rsid w:val="9A734F48"/>
    <w:rsid w:val="9ACF36AB"/>
    <w:rsid w:val="9BB22750"/>
    <w:rsid w:val="9BBDF749"/>
    <w:rsid w:val="9BBEA6AD"/>
    <w:rsid w:val="9BDB4231"/>
    <w:rsid w:val="9BDFEF75"/>
    <w:rsid w:val="9BF7F6DC"/>
    <w:rsid w:val="9BFE6EB2"/>
    <w:rsid w:val="9C4D3DA8"/>
    <w:rsid w:val="9DDB3A0B"/>
    <w:rsid w:val="9EADE38A"/>
    <w:rsid w:val="9EC351E4"/>
    <w:rsid w:val="9F170891"/>
    <w:rsid w:val="9F1F2FA5"/>
    <w:rsid w:val="9F3D9235"/>
    <w:rsid w:val="9F763978"/>
    <w:rsid w:val="9FB5F052"/>
    <w:rsid w:val="9FD927E1"/>
    <w:rsid w:val="9FDEA808"/>
    <w:rsid w:val="9FDFFE2D"/>
    <w:rsid w:val="9FEFB496"/>
    <w:rsid w:val="9FF52762"/>
    <w:rsid w:val="9FF7586D"/>
    <w:rsid w:val="9FF962BC"/>
    <w:rsid w:val="9FFA2298"/>
    <w:rsid w:val="9FFACF4E"/>
    <w:rsid w:val="9FFEBB7E"/>
    <w:rsid w:val="A36F4B72"/>
    <w:rsid w:val="A5B912EA"/>
    <w:rsid w:val="A6F8613A"/>
    <w:rsid w:val="A75B4324"/>
    <w:rsid w:val="A77E2FD9"/>
    <w:rsid w:val="A7BC0237"/>
    <w:rsid w:val="A7CF260B"/>
    <w:rsid w:val="A7D68C4B"/>
    <w:rsid w:val="A7F76ADF"/>
    <w:rsid w:val="A9FF1302"/>
    <w:rsid w:val="AB2FFF21"/>
    <w:rsid w:val="ABE5C9F4"/>
    <w:rsid w:val="ABEBBF18"/>
    <w:rsid w:val="ABEEAD64"/>
    <w:rsid w:val="ABFAD4AE"/>
    <w:rsid w:val="AC1C7F13"/>
    <w:rsid w:val="AC5BB01D"/>
    <w:rsid w:val="ACFE7F62"/>
    <w:rsid w:val="ACFF6ACC"/>
    <w:rsid w:val="AD34F7BF"/>
    <w:rsid w:val="AD5C2B0C"/>
    <w:rsid w:val="AD6887CB"/>
    <w:rsid w:val="ADDF69F8"/>
    <w:rsid w:val="ADF6A4E0"/>
    <w:rsid w:val="ADFF1D0E"/>
    <w:rsid w:val="AE1EDE18"/>
    <w:rsid w:val="AE78D2F6"/>
    <w:rsid w:val="AEBFA001"/>
    <w:rsid w:val="AEEBC3C5"/>
    <w:rsid w:val="AF9FE459"/>
    <w:rsid w:val="AFABC536"/>
    <w:rsid w:val="AFBE55D3"/>
    <w:rsid w:val="AFBF06B1"/>
    <w:rsid w:val="AFD3C222"/>
    <w:rsid w:val="AFD67C9F"/>
    <w:rsid w:val="AFEF4E11"/>
    <w:rsid w:val="AFFCE552"/>
    <w:rsid w:val="AFFF0BBD"/>
    <w:rsid w:val="B2EB3B8B"/>
    <w:rsid w:val="B2F6F671"/>
    <w:rsid w:val="B31FFD07"/>
    <w:rsid w:val="B33E892B"/>
    <w:rsid w:val="B37ADDF0"/>
    <w:rsid w:val="B37DC705"/>
    <w:rsid w:val="B397B569"/>
    <w:rsid w:val="B3EBBCA3"/>
    <w:rsid w:val="B4EF1FA6"/>
    <w:rsid w:val="B4FF3660"/>
    <w:rsid w:val="B59E31EB"/>
    <w:rsid w:val="B5B7409F"/>
    <w:rsid w:val="B5BD5E56"/>
    <w:rsid w:val="B5FA9B1C"/>
    <w:rsid w:val="B65E5CAC"/>
    <w:rsid w:val="B67F4337"/>
    <w:rsid w:val="B6BB067D"/>
    <w:rsid w:val="B6DEB682"/>
    <w:rsid w:val="B779B9C9"/>
    <w:rsid w:val="B7BA69A7"/>
    <w:rsid w:val="B7BF06F7"/>
    <w:rsid w:val="B7DEA630"/>
    <w:rsid w:val="B7DF52ED"/>
    <w:rsid w:val="B7DF5AB4"/>
    <w:rsid w:val="B7EF0E19"/>
    <w:rsid w:val="B7F7E866"/>
    <w:rsid w:val="B7FF0DF1"/>
    <w:rsid w:val="B96ED81A"/>
    <w:rsid w:val="B98EF17E"/>
    <w:rsid w:val="B9E71CF1"/>
    <w:rsid w:val="B9F7E596"/>
    <w:rsid w:val="B9FF0ABC"/>
    <w:rsid w:val="BA7E3F38"/>
    <w:rsid w:val="BACF0DE6"/>
    <w:rsid w:val="BB9A86AA"/>
    <w:rsid w:val="BBAFC7B4"/>
    <w:rsid w:val="BBB9BBC8"/>
    <w:rsid w:val="BBCA47F5"/>
    <w:rsid w:val="BBCDFE4B"/>
    <w:rsid w:val="BBF78036"/>
    <w:rsid w:val="BBFF8302"/>
    <w:rsid w:val="BCDA7458"/>
    <w:rsid w:val="BCFA9042"/>
    <w:rsid w:val="BD2F1B96"/>
    <w:rsid w:val="BD7BD983"/>
    <w:rsid w:val="BDBEEBB0"/>
    <w:rsid w:val="BDBF2BB8"/>
    <w:rsid w:val="BDDD9404"/>
    <w:rsid w:val="BDDFEBF3"/>
    <w:rsid w:val="BDE71BE9"/>
    <w:rsid w:val="BDE72844"/>
    <w:rsid w:val="BDFF20DE"/>
    <w:rsid w:val="BDFF6484"/>
    <w:rsid w:val="BDFFB43E"/>
    <w:rsid w:val="BE653D55"/>
    <w:rsid w:val="BE93F906"/>
    <w:rsid w:val="BE978A0C"/>
    <w:rsid w:val="BEA700E4"/>
    <w:rsid w:val="BEDCBA06"/>
    <w:rsid w:val="BEF4D652"/>
    <w:rsid w:val="BEFC8CD1"/>
    <w:rsid w:val="BEFD9AB4"/>
    <w:rsid w:val="BEFF01CB"/>
    <w:rsid w:val="BEFF890D"/>
    <w:rsid w:val="BF1A2E7F"/>
    <w:rsid w:val="BF3D9648"/>
    <w:rsid w:val="BF5376F1"/>
    <w:rsid w:val="BF67E7C6"/>
    <w:rsid w:val="BF6F85C1"/>
    <w:rsid w:val="BF73E8E1"/>
    <w:rsid w:val="BF7B3AAC"/>
    <w:rsid w:val="BF7F3FE2"/>
    <w:rsid w:val="BF7FCB3F"/>
    <w:rsid w:val="BFCA6DB7"/>
    <w:rsid w:val="BFCF31B2"/>
    <w:rsid w:val="BFDF90A9"/>
    <w:rsid w:val="BFE9C11E"/>
    <w:rsid w:val="BFEE110A"/>
    <w:rsid w:val="BFF59F76"/>
    <w:rsid w:val="BFF7B663"/>
    <w:rsid w:val="BFF9E155"/>
    <w:rsid w:val="BFFB540F"/>
    <w:rsid w:val="BFFB752C"/>
    <w:rsid w:val="BFFC20A8"/>
    <w:rsid w:val="BFFD1191"/>
    <w:rsid w:val="BFFECB30"/>
    <w:rsid w:val="BFFF0258"/>
    <w:rsid w:val="BFFF2DD7"/>
    <w:rsid w:val="BFFFB516"/>
    <w:rsid w:val="BFFFC2C6"/>
    <w:rsid w:val="C3FCA02F"/>
    <w:rsid w:val="C4BEF196"/>
    <w:rsid w:val="C4FB24E5"/>
    <w:rsid w:val="C5FDCCFA"/>
    <w:rsid w:val="C779A34D"/>
    <w:rsid w:val="C77CA9EF"/>
    <w:rsid w:val="C79E5558"/>
    <w:rsid w:val="C7D95ED0"/>
    <w:rsid w:val="C7DE5A4E"/>
    <w:rsid w:val="C7EF2BD8"/>
    <w:rsid w:val="C94BE3CD"/>
    <w:rsid w:val="C9BE6F0E"/>
    <w:rsid w:val="C9FFCC6F"/>
    <w:rsid w:val="CBFF383E"/>
    <w:rsid w:val="CBFFCDBC"/>
    <w:rsid w:val="CCFADDDA"/>
    <w:rsid w:val="CD1DF8E1"/>
    <w:rsid w:val="CD330F00"/>
    <w:rsid w:val="CD567435"/>
    <w:rsid w:val="CD7025F9"/>
    <w:rsid w:val="CDC96A21"/>
    <w:rsid w:val="CDF792D7"/>
    <w:rsid w:val="CDFFC15D"/>
    <w:rsid w:val="CE571D02"/>
    <w:rsid w:val="CE8C09BA"/>
    <w:rsid w:val="CE9F5CC9"/>
    <w:rsid w:val="CEB179FC"/>
    <w:rsid w:val="CEFFA181"/>
    <w:rsid w:val="CF3FFD2E"/>
    <w:rsid w:val="CF75ACF0"/>
    <w:rsid w:val="CF7B1337"/>
    <w:rsid w:val="CF7CD501"/>
    <w:rsid w:val="CF7FDDB8"/>
    <w:rsid w:val="CF8B1B2C"/>
    <w:rsid w:val="CF8F6D4F"/>
    <w:rsid w:val="CFBD7AC5"/>
    <w:rsid w:val="CFC5F5EB"/>
    <w:rsid w:val="CFED867E"/>
    <w:rsid w:val="CFED87C4"/>
    <w:rsid w:val="CFF32FC2"/>
    <w:rsid w:val="D0FF4222"/>
    <w:rsid w:val="D1AD093B"/>
    <w:rsid w:val="D2DF2AA3"/>
    <w:rsid w:val="D2EF12C0"/>
    <w:rsid w:val="D3ADC30F"/>
    <w:rsid w:val="D3DB7FCE"/>
    <w:rsid w:val="D3EC47CD"/>
    <w:rsid w:val="D4AAD285"/>
    <w:rsid w:val="D5775BED"/>
    <w:rsid w:val="D698D23A"/>
    <w:rsid w:val="D6AE79E3"/>
    <w:rsid w:val="D6E6E2E5"/>
    <w:rsid w:val="D6FF45C2"/>
    <w:rsid w:val="D6FFEDB5"/>
    <w:rsid w:val="D7170308"/>
    <w:rsid w:val="D73D0961"/>
    <w:rsid w:val="D73EAB15"/>
    <w:rsid w:val="D76DF732"/>
    <w:rsid w:val="D7776EF4"/>
    <w:rsid w:val="D7793F08"/>
    <w:rsid w:val="D789AFF0"/>
    <w:rsid w:val="D79FF7B3"/>
    <w:rsid w:val="D7B31923"/>
    <w:rsid w:val="D7D32B15"/>
    <w:rsid w:val="D7EABE71"/>
    <w:rsid w:val="D7EB1FB7"/>
    <w:rsid w:val="D7FD9A84"/>
    <w:rsid w:val="D7FE4BEF"/>
    <w:rsid w:val="D8B7E865"/>
    <w:rsid w:val="D8E55B16"/>
    <w:rsid w:val="D95B399B"/>
    <w:rsid w:val="D9F94731"/>
    <w:rsid w:val="D9FD2B6D"/>
    <w:rsid w:val="D9FEF40A"/>
    <w:rsid w:val="DA6FB69F"/>
    <w:rsid w:val="DA77BF90"/>
    <w:rsid w:val="DABB92C8"/>
    <w:rsid w:val="DACEC60C"/>
    <w:rsid w:val="DAE3C36A"/>
    <w:rsid w:val="DAFB4F25"/>
    <w:rsid w:val="DB21FC0B"/>
    <w:rsid w:val="DB772083"/>
    <w:rsid w:val="DB772603"/>
    <w:rsid w:val="DB7B7CA4"/>
    <w:rsid w:val="DB8DE92D"/>
    <w:rsid w:val="DBBF6873"/>
    <w:rsid w:val="DBEFB92B"/>
    <w:rsid w:val="DBF58DD1"/>
    <w:rsid w:val="DBF72B7F"/>
    <w:rsid w:val="DBFB029C"/>
    <w:rsid w:val="DBFF0D71"/>
    <w:rsid w:val="DCFB46A8"/>
    <w:rsid w:val="DD1D7591"/>
    <w:rsid w:val="DD576006"/>
    <w:rsid w:val="DD766AC6"/>
    <w:rsid w:val="DDBFAC3E"/>
    <w:rsid w:val="DDBFD1FF"/>
    <w:rsid w:val="DDD9AFBC"/>
    <w:rsid w:val="DDDFF279"/>
    <w:rsid w:val="DDFF2E04"/>
    <w:rsid w:val="DE3FB801"/>
    <w:rsid w:val="DE4D8586"/>
    <w:rsid w:val="DEA7DEAA"/>
    <w:rsid w:val="DEB0557C"/>
    <w:rsid w:val="DEEE4DF1"/>
    <w:rsid w:val="DEF0F2C9"/>
    <w:rsid w:val="DEFFA371"/>
    <w:rsid w:val="DEFFBD50"/>
    <w:rsid w:val="DF1E5E33"/>
    <w:rsid w:val="DF3F8331"/>
    <w:rsid w:val="DF653D4B"/>
    <w:rsid w:val="DF762C46"/>
    <w:rsid w:val="DF7B227F"/>
    <w:rsid w:val="DF7F44CA"/>
    <w:rsid w:val="DF94A1E7"/>
    <w:rsid w:val="DFAE11E0"/>
    <w:rsid w:val="DFBFEF67"/>
    <w:rsid w:val="DFC34F64"/>
    <w:rsid w:val="DFCD2124"/>
    <w:rsid w:val="DFCF5C67"/>
    <w:rsid w:val="DFD305C1"/>
    <w:rsid w:val="DFD8D3F4"/>
    <w:rsid w:val="DFDA17DD"/>
    <w:rsid w:val="DFDA5D3C"/>
    <w:rsid w:val="DFDDEEB3"/>
    <w:rsid w:val="DFDE2932"/>
    <w:rsid w:val="DFDF8A5E"/>
    <w:rsid w:val="DFEC1570"/>
    <w:rsid w:val="DFEFC878"/>
    <w:rsid w:val="DFF51CA2"/>
    <w:rsid w:val="DFF65BC2"/>
    <w:rsid w:val="DFF73FC2"/>
    <w:rsid w:val="DFFABD42"/>
    <w:rsid w:val="DFFD107F"/>
    <w:rsid w:val="DFFDFFD7"/>
    <w:rsid w:val="DFFF7BE2"/>
    <w:rsid w:val="DFFFAAED"/>
    <w:rsid w:val="DFFFCDCE"/>
    <w:rsid w:val="DFFFDE6D"/>
    <w:rsid w:val="E0738C67"/>
    <w:rsid w:val="E1B8D05E"/>
    <w:rsid w:val="E1EEF521"/>
    <w:rsid w:val="E36D9BEE"/>
    <w:rsid w:val="E37FD70E"/>
    <w:rsid w:val="E4DDA65C"/>
    <w:rsid w:val="E554772B"/>
    <w:rsid w:val="E55FB350"/>
    <w:rsid w:val="E5EF4766"/>
    <w:rsid w:val="E6B6B459"/>
    <w:rsid w:val="E6EB3440"/>
    <w:rsid w:val="E6FA43A3"/>
    <w:rsid w:val="E6FDFA0D"/>
    <w:rsid w:val="E6FFA9A1"/>
    <w:rsid w:val="E75D3752"/>
    <w:rsid w:val="E7CF0463"/>
    <w:rsid w:val="E7DA3366"/>
    <w:rsid w:val="E7F6B497"/>
    <w:rsid w:val="E7F73B95"/>
    <w:rsid w:val="E7FA1FF8"/>
    <w:rsid w:val="E7FD47B4"/>
    <w:rsid w:val="E7FD6177"/>
    <w:rsid w:val="E7FD6686"/>
    <w:rsid w:val="E7FDADD1"/>
    <w:rsid w:val="E7FF120F"/>
    <w:rsid w:val="E92D153D"/>
    <w:rsid w:val="E99D93E7"/>
    <w:rsid w:val="E9B9E266"/>
    <w:rsid w:val="E9D64EED"/>
    <w:rsid w:val="E9FF050F"/>
    <w:rsid w:val="EAB3EC77"/>
    <w:rsid w:val="EAD79B6C"/>
    <w:rsid w:val="EAF27493"/>
    <w:rsid w:val="EB2D3FE6"/>
    <w:rsid w:val="EB3F39FF"/>
    <w:rsid w:val="EB5E8A4C"/>
    <w:rsid w:val="EBDB45BB"/>
    <w:rsid w:val="EBE66198"/>
    <w:rsid w:val="EBE76EF5"/>
    <w:rsid w:val="EBEB5DCB"/>
    <w:rsid w:val="EBF7D464"/>
    <w:rsid w:val="EBFAA78A"/>
    <w:rsid w:val="EBFD90C8"/>
    <w:rsid w:val="EBFEC46A"/>
    <w:rsid w:val="EBFEC755"/>
    <w:rsid w:val="EBFF41D7"/>
    <w:rsid w:val="EBFF7FA8"/>
    <w:rsid w:val="EBFFE10A"/>
    <w:rsid w:val="EC5F611B"/>
    <w:rsid w:val="EC6FD69F"/>
    <w:rsid w:val="EC7DDC25"/>
    <w:rsid w:val="ECBE4559"/>
    <w:rsid w:val="ECCCEE0C"/>
    <w:rsid w:val="ECF99981"/>
    <w:rsid w:val="ED6F54BB"/>
    <w:rsid w:val="ED7CE26F"/>
    <w:rsid w:val="EDA905BF"/>
    <w:rsid w:val="EDAF6B8F"/>
    <w:rsid w:val="EDB66282"/>
    <w:rsid w:val="EDBD6926"/>
    <w:rsid w:val="EDDA48AF"/>
    <w:rsid w:val="EDF9BE87"/>
    <w:rsid w:val="EDFC38AD"/>
    <w:rsid w:val="EDFD20A9"/>
    <w:rsid w:val="EDFF2689"/>
    <w:rsid w:val="EDFF51E7"/>
    <w:rsid w:val="EDFF5242"/>
    <w:rsid w:val="EDFF77FB"/>
    <w:rsid w:val="EDFF9BE2"/>
    <w:rsid w:val="EDFFB82D"/>
    <w:rsid w:val="EE5DBA27"/>
    <w:rsid w:val="EE6F5C3C"/>
    <w:rsid w:val="EE6FDE03"/>
    <w:rsid w:val="EE97F58C"/>
    <w:rsid w:val="EE9FF2CA"/>
    <w:rsid w:val="EEAEAF03"/>
    <w:rsid w:val="EEEA85FB"/>
    <w:rsid w:val="EEFAC715"/>
    <w:rsid w:val="EEFE902B"/>
    <w:rsid w:val="EEFFFE03"/>
    <w:rsid w:val="EF0F3F16"/>
    <w:rsid w:val="EF1CA22A"/>
    <w:rsid w:val="EF1F6C33"/>
    <w:rsid w:val="EF3F0C85"/>
    <w:rsid w:val="EF727334"/>
    <w:rsid w:val="EF7C7FCA"/>
    <w:rsid w:val="EF8F3730"/>
    <w:rsid w:val="EFAAB490"/>
    <w:rsid w:val="EFAE8E30"/>
    <w:rsid w:val="EFAF810A"/>
    <w:rsid w:val="EFAFEF3E"/>
    <w:rsid w:val="EFAFF2BF"/>
    <w:rsid w:val="EFBDE7CC"/>
    <w:rsid w:val="EFBFD487"/>
    <w:rsid w:val="EFBFDA90"/>
    <w:rsid w:val="EFD70C18"/>
    <w:rsid w:val="EFD96AA9"/>
    <w:rsid w:val="EFDF0569"/>
    <w:rsid w:val="EFE2992F"/>
    <w:rsid w:val="EFE68B91"/>
    <w:rsid w:val="EFEC84F8"/>
    <w:rsid w:val="EFEE74D6"/>
    <w:rsid w:val="EFEF1110"/>
    <w:rsid w:val="EFF9DC1E"/>
    <w:rsid w:val="EFFBC99B"/>
    <w:rsid w:val="EFFDB0F0"/>
    <w:rsid w:val="EFFEEB01"/>
    <w:rsid w:val="EFFF7838"/>
    <w:rsid w:val="EFFFE274"/>
    <w:rsid w:val="F0733B23"/>
    <w:rsid w:val="F1389964"/>
    <w:rsid w:val="F19FD400"/>
    <w:rsid w:val="F1DF0AB7"/>
    <w:rsid w:val="F1EF3D18"/>
    <w:rsid w:val="F1FF866A"/>
    <w:rsid w:val="F1FFB75F"/>
    <w:rsid w:val="F23B1738"/>
    <w:rsid w:val="F2B7E435"/>
    <w:rsid w:val="F2E95516"/>
    <w:rsid w:val="F3465C1D"/>
    <w:rsid w:val="F35D638A"/>
    <w:rsid w:val="F3689B87"/>
    <w:rsid w:val="F3BCD9CD"/>
    <w:rsid w:val="F3DDFA4B"/>
    <w:rsid w:val="F3E925EF"/>
    <w:rsid w:val="F3EB1363"/>
    <w:rsid w:val="F3EC0938"/>
    <w:rsid w:val="F3EC61DE"/>
    <w:rsid w:val="F3EF9106"/>
    <w:rsid w:val="F3F61B22"/>
    <w:rsid w:val="F3FAFC00"/>
    <w:rsid w:val="F3FF0931"/>
    <w:rsid w:val="F3FF5313"/>
    <w:rsid w:val="F4CFE2C6"/>
    <w:rsid w:val="F4F72B4F"/>
    <w:rsid w:val="F4F9C364"/>
    <w:rsid w:val="F4FDB18C"/>
    <w:rsid w:val="F4FF17B3"/>
    <w:rsid w:val="F4FFB2A6"/>
    <w:rsid w:val="F55EEDE0"/>
    <w:rsid w:val="F57D97DE"/>
    <w:rsid w:val="F57E2384"/>
    <w:rsid w:val="F5B79157"/>
    <w:rsid w:val="F5CCEC15"/>
    <w:rsid w:val="F5FEB091"/>
    <w:rsid w:val="F5FEFEF8"/>
    <w:rsid w:val="F5FF4CFF"/>
    <w:rsid w:val="F67F4F36"/>
    <w:rsid w:val="F69F1E17"/>
    <w:rsid w:val="F6B72B86"/>
    <w:rsid w:val="F6BFC5C7"/>
    <w:rsid w:val="F6D9C72D"/>
    <w:rsid w:val="F6E5E195"/>
    <w:rsid w:val="F6FF792C"/>
    <w:rsid w:val="F6FFBE49"/>
    <w:rsid w:val="F70D1136"/>
    <w:rsid w:val="F71F9B77"/>
    <w:rsid w:val="F73B06D0"/>
    <w:rsid w:val="F73BD3D9"/>
    <w:rsid w:val="F73FF6B6"/>
    <w:rsid w:val="F74F79D1"/>
    <w:rsid w:val="F75A7B9A"/>
    <w:rsid w:val="F778DDB3"/>
    <w:rsid w:val="F77E2E16"/>
    <w:rsid w:val="F77F54D9"/>
    <w:rsid w:val="F77F5F4F"/>
    <w:rsid w:val="F77FA0C7"/>
    <w:rsid w:val="F78B1A85"/>
    <w:rsid w:val="F797541C"/>
    <w:rsid w:val="F7B644CA"/>
    <w:rsid w:val="F7BD63A4"/>
    <w:rsid w:val="F7BDC778"/>
    <w:rsid w:val="F7BE2A92"/>
    <w:rsid w:val="F7BF273C"/>
    <w:rsid w:val="F7BF6AF5"/>
    <w:rsid w:val="F7D6C028"/>
    <w:rsid w:val="F7DF8AD8"/>
    <w:rsid w:val="F7F74E33"/>
    <w:rsid w:val="F7FE89DF"/>
    <w:rsid w:val="F7FF0398"/>
    <w:rsid w:val="F7FF0506"/>
    <w:rsid w:val="F7FF69BD"/>
    <w:rsid w:val="F7FF853D"/>
    <w:rsid w:val="F7FFA5AB"/>
    <w:rsid w:val="F897B006"/>
    <w:rsid w:val="F95D5C4B"/>
    <w:rsid w:val="F9BD3D21"/>
    <w:rsid w:val="F9BD78E9"/>
    <w:rsid w:val="F9BDAAF3"/>
    <w:rsid w:val="F9BFE7DE"/>
    <w:rsid w:val="F9FAC1E4"/>
    <w:rsid w:val="F9FB99CA"/>
    <w:rsid w:val="F9FD7033"/>
    <w:rsid w:val="FA5F9EB5"/>
    <w:rsid w:val="FA6FE74E"/>
    <w:rsid w:val="FA9F218A"/>
    <w:rsid w:val="FADF6032"/>
    <w:rsid w:val="FAEA8727"/>
    <w:rsid w:val="FAEEA298"/>
    <w:rsid w:val="FAFDB47A"/>
    <w:rsid w:val="FAFF0851"/>
    <w:rsid w:val="FAFFCD43"/>
    <w:rsid w:val="FB1DF4DA"/>
    <w:rsid w:val="FB3EC797"/>
    <w:rsid w:val="FB4FE8C7"/>
    <w:rsid w:val="FB778408"/>
    <w:rsid w:val="FB7B5D86"/>
    <w:rsid w:val="FB7CE155"/>
    <w:rsid w:val="FB9DE681"/>
    <w:rsid w:val="FBA775EB"/>
    <w:rsid w:val="FBAE457B"/>
    <w:rsid w:val="FBBDFF94"/>
    <w:rsid w:val="FBCA26D0"/>
    <w:rsid w:val="FBD6F1E2"/>
    <w:rsid w:val="FBDD6F0C"/>
    <w:rsid w:val="FBDDCDA5"/>
    <w:rsid w:val="FBDEF28D"/>
    <w:rsid w:val="FBDFD9C1"/>
    <w:rsid w:val="FBEF0159"/>
    <w:rsid w:val="FBF37EA2"/>
    <w:rsid w:val="FBF5CE3A"/>
    <w:rsid w:val="FBF70619"/>
    <w:rsid w:val="FBF7F781"/>
    <w:rsid w:val="FBFB155F"/>
    <w:rsid w:val="FBFBC302"/>
    <w:rsid w:val="FBFC42AE"/>
    <w:rsid w:val="FBFE7825"/>
    <w:rsid w:val="FBFF34AF"/>
    <w:rsid w:val="FC9A950F"/>
    <w:rsid w:val="FC9BF5C7"/>
    <w:rsid w:val="FCB7E9B9"/>
    <w:rsid w:val="FCCDFFDF"/>
    <w:rsid w:val="FCD76BA6"/>
    <w:rsid w:val="FCE7C1A4"/>
    <w:rsid w:val="FCEF1E82"/>
    <w:rsid w:val="FCF79E60"/>
    <w:rsid w:val="FCFAB66C"/>
    <w:rsid w:val="FCFB6B79"/>
    <w:rsid w:val="FCFD426C"/>
    <w:rsid w:val="FCFF3B9B"/>
    <w:rsid w:val="FD4219BE"/>
    <w:rsid w:val="FD4B6D50"/>
    <w:rsid w:val="FD4E7392"/>
    <w:rsid w:val="FD574FC8"/>
    <w:rsid w:val="FD6D894B"/>
    <w:rsid w:val="FD73D197"/>
    <w:rsid w:val="FD7ECCBB"/>
    <w:rsid w:val="FD7FD985"/>
    <w:rsid w:val="FD9D89E7"/>
    <w:rsid w:val="FDBF6E02"/>
    <w:rsid w:val="FDD8E4A5"/>
    <w:rsid w:val="FDD9D4D8"/>
    <w:rsid w:val="FDEFFBD4"/>
    <w:rsid w:val="FDF39647"/>
    <w:rsid w:val="FDF453E4"/>
    <w:rsid w:val="FDF79595"/>
    <w:rsid w:val="FDF7CDB7"/>
    <w:rsid w:val="FDFE25A7"/>
    <w:rsid w:val="FDFEC632"/>
    <w:rsid w:val="FDFF8AA8"/>
    <w:rsid w:val="FE13DA0F"/>
    <w:rsid w:val="FE450A1F"/>
    <w:rsid w:val="FE5EF132"/>
    <w:rsid w:val="FE5F9E5D"/>
    <w:rsid w:val="FE6B964F"/>
    <w:rsid w:val="FE6E1740"/>
    <w:rsid w:val="FE77B3AC"/>
    <w:rsid w:val="FE7FF4D1"/>
    <w:rsid w:val="FE9F0EF2"/>
    <w:rsid w:val="FEA286FA"/>
    <w:rsid w:val="FEAD18EC"/>
    <w:rsid w:val="FEBF7A57"/>
    <w:rsid w:val="FECFF9D2"/>
    <w:rsid w:val="FEDB7B6F"/>
    <w:rsid w:val="FEDBE1AA"/>
    <w:rsid w:val="FEDFABDE"/>
    <w:rsid w:val="FEDFAFDC"/>
    <w:rsid w:val="FEE3CA68"/>
    <w:rsid w:val="FEE772C5"/>
    <w:rsid w:val="FEE7FEDA"/>
    <w:rsid w:val="FEEA5749"/>
    <w:rsid w:val="FEEF8C7F"/>
    <w:rsid w:val="FEF32680"/>
    <w:rsid w:val="FEFBC88F"/>
    <w:rsid w:val="FEFD234F"/>
    <w:rsid w:val="FEFE7FB7"/>
    <w:rsid w:val="FEFE9540"/>
    <w:rsid w:val="FEFEBBEC"/>
    <w:rsid w:val="FEFF2591"/>
    <w:rsid w:val="FEFFD6C4"/>
    <w:rsid w:val="FF2E7568"/>
    <w:rsid w:val="FF3742C2"/>
    <w:rsid w:val="FF3B2028"/>
    <w:rsid w:val="FF3FBCAE"/>
    <w:rsid w:val="FF4F6D48"/>
    <w:rsid w:val="FF4FECD2"/>
    <w:rsid w:val="FF578F93"/>
    <w:rsid w:val="FF5F9572"/>
    <w:rsid w:val="FF6717A0"/>
    <w:rsid w:val="FF6F1636"/>
    <w:rsid w:val="FF6F463A"/>
    <w:rsid w:val="FF715981"/>
    <w:rsid w:val="FF777B40"/>
    <w:rsid w:val="FF7ABB87"/>
    <w:rsid w:val="FF7BA364"/>
    <w:rsid w:val="FF7F64E6"/>
    <w:rsid w:val="FF7F7939"/>
    <w:rsid w:val="FF8FBD0C"/>
    <w:rsid w:val="FF97F3FA"/>
    <w:rsid w:val="FF9B26FF"/>
    <w:rsid w:val="FF9EE3E9"/>
    <w:rsid w:val="FF9FC464"/>
    <w:rsid w:val="FFA7BADE"/>
    <w:rsid w:val="FFAF6AE5"/>
    <w:rsid w:val="FFAF7CC1"/>
    <w:rsid w:val="FFB24E7B"/>
    <w:rsid w:val="FFB2FE30"/>
    <w:rsid w:val="FFB7808F"/>
    <w:rsid w:val="FFB7DFB2"/>
    <w:rsid w:val="FFBA782F"/>
    <w:rsid w:val="FFBB0100"/>
    <w:rsid w:val="FFBB27E0"/>
    <w:rsid w:val="FFBB7FAC"/>
    <w:rsid w:val="FFBD8B9C"/>
    <w:rsid w:val="FFBDFE68"/>
    <w:rsid w:val="FFBE11D3"/>
    <w:rsid w:val="FFBF7C9B"/>
    <w:rsid w:val="FFC19D52"/>
    <w:rsid w:val="FFC37EA0"/>
    <w:rsid w:val="FFC7FF3C"/>
    <w:rsid w:val="FFD757B1"/>
    <w:rsid w:val="FFD7B13E"/>
    <w:rsid w:val="FFDF1482"/>
    <w:rsid w:val="FFDF2968"/>
    <w:rsid w:val="FFDF42C2"/>
    <w:rsid w:val="FFDF5F1E"/>
    <w:rsid w:val="FFDFB24D"/>
    <w:rsid w:val="FFDFF23B"/>
    <w:rsid w:val="FFDFFA84"/>
    <w:rsid w:val="FFE52115"/>
    <w:rsid w:val="FFE7B0AA"/>
    <w:rsid w:val="FFE7CAA5"/>
    <w:rsid w:val="FFEAE47A"/>
    <w:rsid w:val="FFEBD565"/>
    <w:rsid w:val="FFEFC2A2"/>
    <w:rsid w:val="FFEFEC19"/>
    <w:rsid w:val="FFF376B6"/>
    <w:rsid w:val="FFF37BCB"/>
    <w:rsid w:val="FFF51F5E"/>
    <w:rsid w:val="FFF5421B"/>
    <w:rsid w:val="FFF54969"/>
    <w:rsid w:val="FFF58543"/>
    <w:rsid w:val="FFF6B0D7"/>
    <w:rsid w:val="FFF70BC5"/>
    <w:rsid w:val="FFF739E0"/>
    <w:rsid w:val="FFF74669"/>
    <w:rsid w:val="FFF747E9"/>
    <w:rsid w:val="FFF758A6"/>
    <w:rsid w:val="FFF916BD"/>
    <w:rsid w:val="FFF98786"/>
    <w:rsid w:val="FFFAB0B9"/>
    <w:rsid w:val="FFFAD4C9"/>
    <w:rsid w:val="FFFB31F8"/>
    <w:rsid w:val="FFFB46EB"/>
    <w:rsid w:val="FFFBB23D"/>
    <w:rsid w:val="FFFBCA15"/>
    <w:rsid w:val="FFFBCA2E"/>
    <w:rsid w:val="FFFC00B6"/>
    <w:rsid w:val="FFFD4AA2"/>
    <w:rsid w:val="FFFD9AF6"/>
    <w:rsid w:val="FFFE4693"/>
    <w:rsid w:val="FFFEBD8A"/>
    <w:rsid w:val="FFFF14CA"/>
    <w:rsid w:val="FFFF2968"/>
    <w:rsid w:val="FFFF5E20"/>
    <w:rsid w:val="FFFF5ECB"/>
    <w:rsid w:val="FFFF6F8B"/>
    <w:rsid w:val="FFFF7FD5"/>
    <w:rsid w:val="FFFF85B8"/>
    <w:rsid w:val="FFFF88A4"/>
    <w:rsid w:val="FFFFC5C2"/>
    <w:rsid w:val="FFFFDFA6"/>
    <w:rsid w:val="FFFFF31D"/>
    <w:rsid w:val="FFFFF574"/>
    <w:rsid w:val="FFFFFD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pPr>
    <w:rPr>
      <w:sz w:val="18"/>
      <w:szCs w:val="18"/>
    </w:rPr>
  </w:style>
  <w:style w:type="paragraph" w:styleId="5">
    <w:name w:val="header"/>
    <w:basedOn w:val="1"/>
    <w:qFormat/>
    <w:uiPriority w:val="0"/>
    <w:pPr>
      <w:tabs>
        <w:tab w:val="center" w:pos="4153"/>
        <w:tab w:val="right" w:pos="8306"/>
      </w:tabs>
      <w:snapToGrid w:val="0"/>
    </w:pPr>
    <w:rPr>
      <w:sz w:val="18"/>
      <w:szCs w:val="18"/>
    </w:rPr>
  </w:style>
  <w:style w:type="character" w:styleId="6">
    <w:name w:val="Hyperlink"/>
    <w:basedOn w:val="2"/>
    <w:qFormat/>
    <w:uiPriority w:val="0"/>
    <w:rPr>
      <w:color w:val="0000FF"/>
      <w:u w:val="single"/>
    </w:rPr>
  </w:style>
  <w:style w:type="paragraph" w:styleId="7">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val="sl-SI" w:eastAsia="sl-SI"/>
    </w:rPr>
  </w:style>
  <w:style w:type="table" w:styleId="8">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9">
    <w:name w:val="No Spacing"/>
    <w:qFormat/>
    <w:uiPriority w:val="1"/>
    <w:pPr>
      <w:spacing w:after="0" w:line="240" w:lineRule="auto"/>
    </w:pPr>
    <w:rPr>
      <w:rFonts w:asciiTheme="minorHAnsi" w:hAnsiTheme="minorHAnsi" w:eastAsiaTheme="minorHAnsi" w:cstheme="minorBidi"/>
      <w:sz w:val="22"/>
      <w:szCs w:val="22"/>
      <w:lang w:val="sl-SI"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6D1F94B7</Template>
  <Company>Ministrstvo za zunanje zadeve</Company>
  <Pages>1</Pages>
  <Words>4951</Words>
  <Characters>28221</Characters>
  <Lines>235</Lines>
  <Paragraphs>66</Paragraphs>
  <TotalTime>5</TotalTime>
  <ScaleCrop>false</ScaleCrop>
  <LinksUpToDate>false</LinksUpToDate>
  <CharactersWithSpaces>33106</CharactersWithSpaces>
  <Application>WPS Office_11.1.0.9080_F1E327BC-269C-435d-A152-05C5408002CA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2020-04-15T06:57:00Z</dcterms:created>
  <dc:creator>Sanjin</dc:creator>
  <cp:lastModifiedBy>Sanjin</cp:lastModifiedBy>
  <dcterms:modified xsi:type="dcterms:W3CDTF">2020-04-30T09:24:19Z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1033-11.1.0.9080</vt:lpwstr>
  </property>
</Properties>
</file>